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A3D" w:rsidRPr="007458F9" w:rsidRDefault="00A1534B" w:rsidP="008927DE">
      <w:pPr>
        <w:jc w:val="center"/>
        <w:outlineLvl w:val="0"/>
        <w:rPr>
          <w:b/>
        </w:rPr>
      </w:pPr>
      <w:r w:rsidRPr="007458F9">
        <w:rPr>
          <w:b/>
        </w:rPr>
        <w:t xml:space="preserve">Raport </w:t>
      </w:r>
      <w:r w:rsidR="009D3D41" w:rsidRPr="007458F9">
        <w:rPr>
          <w:b/>
        </w:rPr>
        <w:t>końcowy z realizacji projektu</w:t>
      </w:r>
      <w:r w:rsidR="00CA79E4" w:rsidRPr="007458F9">
        <w:rPr>
          <w:b/>
        </w:rPr>
        <w:t xml:space="preserve"> informatycznego</w:t>
      </w: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381"/>
        <w:gridCol w:w="1854"/>
        <w:gridCol w:w="7654"/>
      </w:tblGrid>
      <w:tr w:rsidR="007A0A3D" w:rsidRPr="002450C4" w:rsidTr="007458F9">
        <w:tc>
          <w:tcPr>
            <w:tcW w:w="381" w:type="dxa"/>
          </w:tcPr>
          <w:p w:rsidR="007A0A3D" w:rsidRPr="007458F9" w:rsidRDefault="007A0A3D" w:rsidP="007A0A3D">
            <w:pPr>
              <w:jc w:val="center"/>
              <w:rPr>
                <w:sz w:val="18"/>
                <w:szCs w:val="20"/>
              </w:rPr>
            </w:pPr>
            <w:r w:rsidRPr="007458F9">
              <w:rPr>
                <w:sz w:val="18"/>
                <w:szCs w:val="20"/>
              </w:rPr>
              <w:t>Lp.</w:t>
            </w:r>
          </w:p>
        </w:tc>
        <w:tc>
          <w:tcPr>
            <w:tcW w:w="1854" w:type="dxa"/>
          </w:tcPr>
          <w:p w:rsidR="007A0A3D" w:rsidRPr="007458F9" w:rsidRDefault="007A0A3D" w:rsidP="007A0A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58F9"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  <w:tc>
          <w:tcPr>
            <w:tcW w:w="7654" w:type="dxa"/>
          </w:tcPr>
          <w:p w:rsidR="007A0A3D" w:rsidRPr="007458F9" w:rsidRDefault="007A0A3D" w:rsidP="00F43B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58F9">
              <w:rPr>
                <w:rFonts w:ascii="Arial" w:hAnsi="Arial" w:cs="Arial"/>
                <w:sz w:val="20"/>
                <w:szCs w:val="20"/>
              </w:rPr>
              <w:t>Opis</w:t>
            </w:r>
          </w:p>
        </w:tc>
      </w:tr>
      <w:tr w:rsidR="007A0A3D" w:rsidRPr="002450C4" w:rsidTr="007458F9">
        <w:tc>
          <w:tcPr>
            <w:tcW w:w="381" w:type="dxa"/>
          </w:tcPr>
          <w:p w:rsidR="007A0A3D" w:rsidRPr="00F43B7D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4" w:type="dxa"/>
          </w:tcPr>
          <w:p w:rsidR="007A0A3D" w:rsidRPr="00F43B7D" w:rsidRDefault="007A0A3D">
            <w:pPr>
              <w:rPr>
                <w:rFonts w:ascii="Arial" w:hAnsi="Arial" w:cs="Arial"/>
                <w:sz w:val="20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>Tytuł projektu</w:t>
            </w:r>
          </w:p>
        </w:tc>
        <w:tc>
          <w:tcPr>
            <w:tcW w:w="7654" w:type="dxa"/>
          </w:tcPr>
          <w:p w:rsidR="007A0A3D" w:rsidRPr="00F43B7D" w:rsidRDefault="007E34C5" w:rsidP="009209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3B7D">
              <w:rPr>
                <w:rFonts w:ascii="Arial" w:hAnsi="Arial" w:cs="Arial"/>
                <w:b/>
                <w:sz w:val="20"/>
                <w:szCs w:val="20"/>
              </w:rPr>
              <w:t>Platforma pośrednicząca elektronicznego fakturowania dla sfery finansów publicznych</w:t>
            </w:r>
          </w:p>
        </w:tc>
      </w:tr>
      <w:tr w:rsidR="007A0A3D" w:rsidRPr="002450C4" w:rsidTr="007458F9">
        <w:trPr>
          <w:trHeight w:val="265"/>
        </w:trPr>
        <w:tc>
          <w:tcPr>
            <w:tcW w:w="381" w:type="dxa"/>
          </w:tcPr>
          <w:p w:rsidR="007A0A3D" w:rsidRPr="00F43B7D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4" w:type="dxa"/>
          </w:tcPr>
          <w:p w:rsidR="007A0A3D" w:rsidRPr="00F43B7D" w:rsidRDefault="007A0A3D" w:rsidP="00A1534B">
            <w:pPr>
              <w:rPr>
                <w:rFonts w:ascii="Arial" w:hAnsi="Arial" w:cs="Arial"/>
                <w:sz w:val="20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 xml:space="preserve">Beneficjent projektu </w:t>
            </w:r>
          </w:p>
        </w:tc>
        <w:tc>
          <w:tcPr>
            <w:tcW w:w="7654" w:type="dxa"/>
          </w:tcPr>
          <w:p w:rsidR="001C611C" w:rsidRPr="00F43B7D" w:rsidRDefault="007E34C5" w:rsidP="0092099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3B7D">
              <w:rPr>
                <w:rFonts w:ascii="Arial" w:hAnsi="Arial" w:cs="Arial"/>
                <w:b/>
                <w:sz w:val="20"/>
                <w:szCs w:val="20"/>
              </w:rPr>
              <w:t>Ministerstwo Przedsiębiorczości i Technologii</w:t>
            </w:r>
          </w:p>
        </w:tc>
      </w:tr>
      <w:tr w:rsidR="007A0A3D" w:rsidRPr="002450C4" w:rsidTr="007458F9">
        <w:tc>
          <w:tcPr>
            <w:tcW w:w="381" w:type="dxa"/>
          </w:tcPr>
          <w:p w:rsidR="007A0A3D" w:rsidRPr="00F43B7D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4" w:type="dxa"/>
          </w:tcPr>
          <w:p w:rsidR="007A0A3D" w:rsidRPr="00F43B7D" w:rsidRDefault="007A0A3D" w:rsidP="007A0A3D">
            <w:pPr>
              <w:rPr>
                <w:rFonts w:ascii="Arial" w:hAnsi="Arial" w:cs="Arial"/>
                <w:sz w:val="20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 xml:space="preserve">Partnerzy </w:t>
            </w:r>
          </w:p>
        </w:tc>
        <w:tc>
          <w:tcPr>
            <w:tcW w:w="7654" w:type="dxa"/>
          </w:tcPr>
          <w:p w:rsidR="007A0A3D" w:rsidRPr="00F43B7D" w:rsidRDefault="007E34C5" w:rsidP="00FD074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3B7D">
              <w:rPr>
                <w:rFonts w:ascii="Arial" w:hAnsi="Arial" w:cs="Arial"/>
                <w:b/>
                <w:sz w:val="20"/>
                <w:szCs w:val="20"/>
              </w:rPr>
              <w:t>Sieć Badawcza Łukasiewicz -  Instytut Logistyki i Magazynowania</w:t>
            </w:r>
          </w:p>
        </w:tc>
      </w:tr>
      <w:tr w:rsidR="00F117E4" w:rsidRPr="002450C4" w:rsidTr="007458F9">
        <w:tc>
          <w:tcPr>
            <w:tcW w:w="381" w:type="dxa"/>
          </w:tcPr>
          <w:p w:rsidR="00F117E4" w:rsidRPr="00F43B7D" w:rsidRDefault="00F117E4" w:rsidP="00F117E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4" w:type="dxa"/>
          </w:tcPr>
          <w:p w:rsidR="00F117E4" w:rsidRPr="00F43B7D" w:rsidRDefault="00F117E4" w:rsidP="00F117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>Postęp finansowy</w:t>
            </w:r>
          </w:p>
        </w:tc>
        <w:tc>
          <w:tcPr>
            <w:tcW w:w="7654" w:type="dxa"/>
          </w:tcPr>
          <w:p w:rsidR="00F117E4" w:rsidRPr="00D174C4" w:rsidRDefault="00F117E4" w:rsidP="00F117E4">
            <w:pPr>
              <w:autoSpaceDE w:val="0"/>
              <w:autoSpaceDN w:val="0"/>
              <w:adjustRightInd w:val="0"/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D174C4">
              <w:rPr>
                <w:rFonts w:ascii="Arial" w:hAnsi="Arial" w:cs="Arial"/>
                <w:sz w:val="20"/>
                <w:szCs w:val="20"/>
              </w:rPr>
              <w:t>Budżet Państwa</w:t>
            </w:r>
          </w:p>
          <w:p w:rsidR="00F117E4" w:rsidRPr="00D174C4" w:rsidRDefault="00F117E4" w:rsidP="00F117E4">
            <w:pPr>
              <w:autoSpaceDE w:val="0"/>
              <w:autoSpaceDN w:val="0"/>
              <w:adjustRightInd w:val="0"/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D174C4">
              <w:rPr>
                <w:rFonts w:ascii="Arial" w:hAnsi="Arial" w:cs="Arial"/>
                <w:sz w:val="20"/>
                <w:szCs w:val="20"/>
              </w:rPr>
              <w:t>część 20 Ministerstwo Rozwoju - Fundusze UE:</w:t>
            </w:r>
          </w:p>
          <w:p w:rsidR="00F117E4" w:rsidRPr="00D174C4" w:rsidRDefault="00F117E4" w:rsidP="00F117E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D174C4">
              <w:rPr>
                <w:rFonts w:ascii="Arial" w:hAnsi="Arial" w:cs="Arial"/>
                <w:sz w:val="20"/>
                <w:szCs w:val="20"/>
              </w:rPr>
              <w:t>Program Operacyjny Polska Cyfrowa</w:t>
            </w:r>
          </w:p>
          <w:p w:rsidR="00F117E4" w:rsidRPr="00D174C4" w:rsidRDefault="00F117E4" w:rsidP="00F117E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D174C4">
              <w:rPr>
                <w:rFonts w:ascii="Arial" w:hAnsi="Arial" w:cs="Arial"/>
                <w:sz w:val="20"/>
                <w:szCs w:val="20"/>
              </w:rPr>
              <w:t>Oś priorytetowa nr II „E-administracja i otwarty rząd”</w:t>
            </w:r>
          </w:p>
          <w:p w:rsidR="00F117E4" w:rsidRPr="00D174C4" w:rsidRDefault="00F117E4" w:rsidP="00F117E4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D174C4">
              <w:rPr>
                <w:rFonts w:ascii="Arial" w:hAnsi="Arial" w:cs="Arial"/>
                <w:sz w:val="20"/>
                <w:szCs w:val="20"/>
              </w:rPr>
              <w:t>Działanie nr 2.1 „Wysoka dostępność i jakość e-usług publicznych”</w:t>
            </w:r>
          </w:p>
          <w:p w:rsidR="00F117E4" w:rsidRPr="00D174C4" w:rsidRDefault="00F117E4" w:rsidP="00F117E4">
            <w:pPr>
              <w:autoSpaceDE w:val="0"/>
              <w:autoSpaceDN w:val="0"/>
              <w:adjustRightInd w:val="0"/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D174C4">
              <w:rPr>
                <w:rFonts w:ascii="Arial" w:hAnsi="Arial" w:cs="Arial"/>
                <w:sz w:val="20"/>
                <w:szCs w:val="20"/>
              </w:rPr>
              <w:t xml:space="preserve">Całkowity koszt projektu: </w:t>
            </w:r>
            <w:r w:rsidR="007675D6">
              <w:rPr>
                <w:rFonts w:ascii="Arial" w:hAnsi="Arial" w:cs="Arial"/>
                <w:sz w:val="20"/>
                <w:szCs w:val="20"/>
              </w:rPr>
              <w:t>34 512 107,39</w:t>
            </w:r>
            <w:r w:rsidRPr="00F117E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7675D6">
              <w:rPr>
                <w:rFonts w:ascii="Arial" w:hAnsi="Arial" w:cs="Arial"/>
                <w:sz w:val="20"/>
                <w:szCs w:val="20"/>
              </w:rPr>
              <w:t xml:space="preserve">zł </w:t>
            </w:r>
            <w:r w:rsidRPr="00D174C4">
              <w:rPr>
                <w:rFonts w:ascii="Arial" w:hAnsi="Arial" w:cs="Arial"/>
                <w:sz w:val="20"/>
                <w:szCs w:val="20"/>
              </w:rPr>
              <w:t>(wg Porozumienia)</w:t>
            </w:r>
          </w:p>
          <w:p w:rsidR="00F117E4" w:rsidRDefault="00F117E4" w:rsidP="00F117E4">
            <w:pPr>
              <w:autoSpaceDE w:val="0"/>
              <w:autoSpaceDN w:val="0"/>
              <w:adjustRightInd w:val="0"/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D174C4">
              <w:rPr>
                <w:rFonts w:ascii="Arial" w:hAnsi="Arial" w:cs="Arial"/>
                <w:sz w:val="20"/>
                <w:szCs w:val="20"/>
              </w:rPr>
              <w:t xml:space="preserve">Koszt kwalifikowalny projekcie: </w:t>
            </w:r>
            <w:r w:rsidR="007675D6">
              <w:rPr>
                <w:rFonts w:ascii="Arial" w:hAnsi="Arial" w:cs="Arial"/>
                <w:sz w:val="20"/>
                <w:szCs w:val="20"/>
              </w:rPr>
              <w:t>34 512 107,39</w:t>
            </w:r>
            <w:r w:rsidR="007675D6" w:rsidRPr="00F117E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174C4">
              <w:rPr>
                <w:rFonts w:ascii="Arial" w:hAnsi="Arial" w:cs="Arial"/>
                <w:sz w:val="20"/>
                <w:szCs w:val="20"/>
              </w:rPr>
              <w:t>zł (wg Porozumienia)</w:t>
            </w:r>
          </w:p>
          <w:p w:rsidR="007675D6" w:rsidRPr="00D174C4" w:rsidRDefault="007675D6" w:rsidP="007675D6">
            <w:pPr>
              <w:autoSpaceDE w:val="0"/>
              <w:autoSpaceDN w:val="0"/>
              <w:adjustRightInd w:val="0"/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D174C4">
              <w:rPr>
                <w:rFonts w:ascii="Arial" w:hAnsi="Arial" w:cs="Arial"/>
                <w:sz w:val="20"/>
                <w:szCs w:val="20"/>
              </w:rPr>
              <w:t xml:space="preserve">Całkowity koszt projektu: </w:t>
            </w:r>
            <w:r>
              <w:rPr>
                <w:rFonts w:ascii="Arial" w:hAnsi="Arial" w:cs="Arial"/>
                <w:sz w:val="20"/>
                <w:szCs w:val="20"/>
              </w:rPr>
              <w:t>19 813 676,52</w:t>
            </w:r>
            <w:r w:rsidRPr="00F117E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7675D6">
              <w:rPr>
                <w:rFonts w:ascii="Arial" w:hAnsi="Arial" w:cs="Arial"/>
                <w:sz w:val="20"/>
                <w:szCs w:val="20"/>
              </w:rPr>
              <w:t xml:space="preserve">zł </w:t>
            </w:r>
            <w:r w:rsidRPr="00D174C4">
              <w:rPr>
                <w:rFonts w:ascii="Arial" w:hAnsi="Arial" w:cs="Arial"/>
                <w:sz w:val="20"/>
                <w:szCs w:val="20"/>
              </w:rPr>
              <w:t xml:space="preserve">(wg </w:t>
            </w:r>
            <w:r>
              <w:rPr>
                <w:rFonts w:ascii="Arial" w:hAnsi="Arial" w:cs="Arial"/>
                <w:sz w:val="20"/>
                <w:szCs w:val="20"/>
              </w:rPr>
              <w:t xml:space="preserve">aneksu do </w:t>
            </w:r>
            <w:r w:rsidRPr="00D174C4">
              <w:rPr>
                <w:rFonts w:ascii="Arial" w:hAnsi="Arial" w:cs="Arial"/>
                <w:sz w:val="20"/>
                <w:szCs w:val="20"/>
              </w:rPr>
              <w:t>Porozumienia)</w:t>
            </w:r>
          </w:p>
          <w:p w:rsidR="007675D6" w:rsidRDefault="007675D6" w:rsidP="007675D6">
            <w:pPr>
              <w:autoSpaceDE w:val="0"/>
              <w:autoSpaceDN w:val="0"/>
              <w:adjustRightInd w:val="0"/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D174C4">
              <w:rPr>
                <w:rFonts w:ascii="Arial" w:hAnsi="Arial" w:cs="Arial"/>
                <w:sz w:val="20"/>
                <w:szCs w:val="20"/>
              </w:rPr>
              <w:t xml:space="preserve">Koszt kwalifikowalny projekcie: </w:t>
            </w:r>
            <w:r>
              <w:rPr>
                <w:rFonts w:ascii="Arial" w:hAnsi="Arial" w:cs="Arial"/>
                <w:sz w:val="20"/>
                <w:szCs w:val="20"/>
              </w:rPr>
              <w:t>19 813 196,82</w:t>
            </w:r>
            <w:r w:rsidRPr="00F117E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174C4">
              <w:rPr>
                <w:rFonts w:ascii="Arial" w:hAnsi="Arial" w:cs="Arial"/>
                <w:sz w:val="20"/>
                <w:szCs w:val="20"/>
              </w:rPr>
              <w:t>zł (wg</w:t>
            </w:r>
            <w:r>
              <w:rPr>
                <w:rFonts w:ascii="Arial" w:hAnsi="Arial" w:cs="Arial"/>
                <w:sz w:val="20"/>
                <w:szCs w:val="20"/>
              </w:rPr>
              <w:t xml:space="preserve"> aneksu do</w:t>
            </w:r>
            <w:r w:rsidRPr="00D174C4">
              <w:rPr>
                <w:rFonts w:ascii="Arial" w:hAnsi="Arial" w:cs="Arial"/>
                <w:sz w:val="20"/>
                <w:szCs w:val="20"/>
              </w:rPr>
              <w:t xml:space="preserve"> Porozumienia)</w:t>
            </w:r>
          </w:p>
          <w:p w:rsidR="00F117E4" w:rsidRPr="00D174C4" w:rsidRDefault="00F117E4" w:rsidP="00F117E4">
            <w:pPr>
              <w:autoSpaceDE w:val="0"/>
              <w:autoSpaceDN w:val="0"/>
              <w:adjustRightInd w:val="0"/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D174C4">
              <w:rPr>
                <w:rFonts w:ascii="Arial" w:hAnsi="Arial" w:cs="Arial"/>
                <w:sz w:val="20"/>
                <w:szCs w:val="20"/>
              </w:rPr>
              <w:t xml:space="preserve">Całkowity koszt projektu: </w:t>
            </w:r>
            <w:r w:rsidR="00A10386">
              <w:rPr>
                <w:rFonts w:ascii="Arial" w:hAnsi="Arial" w:cs="Arial"/>
                <w:sz w:val="20"/>
                <w:szCs w:val="20"/>
              </w:rPr>
              <w:t>19 625 949,32</w:t>
            </w:r>
            <w:r w:rsidRPr="00F117E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174C4">
              <w:rPr>
                <w:rFonts w:ascii="Arial" w:hAnsi="Arial" w:cs="Arial"/>
                <w:sz w:val="20"/>
                <w:szCs w:val="20"/>
              </w:rPr>
              <w:t>zł (na podstawie wniosków o płatność)</w:t>
            </w:r>
          </w:p>
          <w:p w:rsidR="00F117E4" w:rsidRPr="00D174C4" w:rsidRDefault="00F117E4" w:rsidP="00F117E4">
            <w:pPr>
              <w:autoSpaceDE w:val="0"/>
              <w:autoSpaceDN w:val="0"/>
              <w:adjustRightInd w:val="0"/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D174C4">
              <w:rPr>
                <w:rFonts w:ascii="Arial" w:hAnsi="Arial" w:cs="Arial"/>
                <w:sz w:val="20"/>
                <w:szCs w:val="20"/>
              </w:rPr>
              <w:t xml:space="preserve">Koszt kwalifikowalny w projekcie: </w:t>
            </w:r>
            <w:r w:rsidR="00F600BD">
              <w:rPr>
                <w:rFonts w:ascii="Arial" w:hAnsi="Arial" w:cs="Arial"/>
                <w:sz w:val="20"/>
                <w:szCs w:val="20"/>
              </w:rPr>
              <w:t>19</w:t>
            </w:r>
            <w:r w:rsidR="00BD5E5F">
              <w:rPr>
                <w:rFonts w:ascii="Arial" w:hAnsi="Arial" w:cs="Arial"/>
                <w:sz w:val="20"/>
                <w:szCs w:val="20"/>
              </w:rPr>
              <w:t> </w:t>
            </w:r>
            <w:r w:rsidR="00F600BD">
              <w:rPr>
                <w:rFonts w:ascii="Arial" w:hAnsi="Arial" w:cs="Arial"/>
                <w:sz w:val="20"/>
                <w:szCs w:val="20"/>
              </w:rPr>
              <w:t>6</w:t>
            </w:r>
            <w:r w:rsidR="00BD5E5F">
              <w:rPr>
                <w:rFonts w:ascii="Arial" w:hAnsi="Arial" w:cs="Arial"/>
                <w:sz w:val="20"/>
                <w:szCs w:val="20"/>
              </w:rPr>
              <w:t>10 642,79 zł</w:t>
            </w:r>
            <w:r w:rsidRPr="00F117E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D174C4">
              <w:rPr>
                <w:rFonts w:ascii="Arial" w:hAnsi="Arial" w:cs="Arial"/>
                <w:sz w:val="20"/>
                <w:szCs w:val="20"/>
              </w:rPr>
              <w:t>(na podstawie wniosków o płatność)</w:t>
            </w:r>
          </w:p>
          <w:p w:rsidR="00F117E4" w:rsidRPr="00D174C4" w:rsidRDefault="00F117E4" w:rsidP="00F117E4">
            <w:pPr>
              <w:autoSpaceDE w:val="0"/>
              <w:autoSpaceDN w:val="0"/>
              <w:adjustRightInd w:val="0"/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D174C4">
              <w:rPr>
                <w:rFonts w:ascii="Arial" w:hAnsi="Arial" w:cs="Arial"/>
                <w:sz w:val="20"/>
                <w:szCs w:val="20"/>
              </w:rPr>
              <w:t xml:space="preserve">Różnica w kwocie pomiędzy wartościami założonymi a docelowymi wynika z wygenerowanych oszczędności w projekcie. </w:t>
            </w:r>
          </w:p>
          <w:p w:rsidR="00BD5E5F" w:rsidRDefault="00F117E4" w:rsidP="00657614">
            <w:pPr>
              <w:autoSpaceDE w:val="0"/>
              <w:autoSpaceDN w:val="0"/>
              <w:adjustRightInd w:val="0"/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D174C4">
              <w:rPr>
                <w:rFonts w:ascii="Arial" w:hAnsi="Arial" w:cs="Arial"/>
                <w:sz w:val="20"/>
                <w:szCs w:val="20"/>
              </w:rPr>
              <w:t xml:space="preserve">Różnica w łącznej wysokości </w:t>
            </w:r>
            <w:r w:rsidR="00BD5E5F">
              <w:rPr>
                <w:rFonts w:ascii="Arial" w:hAnsi="Arial" w:cs="Arial"/>
                <w:sz w:val="20"/>
                <w:szCs w:val="20"/>
              </w:rPr>
              <w:t>15 306,53 zł</w:t>
            </w:r>
            <w:r w:rsidRPr="00D174C4">
              <w:rPr>
                <w:rFonts w:ascii="Arial" w:hAnsi="Arial" w:cs="Arial"/>
                <w:sz w:val="20"/>
                <w:szCs w:val="20"/>
              </w:rPr>
              <w:t xml:space="preserve"> pomiędzy całkowitą a kwalifikowalną </w:t>
            </w:r>
            <w:r w:rsidR="00657614">
              <w:rPr>
                <w:rFonts w:ascii="Arial" w:hAnsi="Arial" w:cs="Arial"/>
                <w:sz w:val="20"/>
                <w:szCs w:val="20"/>
              </w:rPr>
              <w:t>kwotą w projekcie jest wynikiem uznania za niekwalifikowalny koszt zakupu</w:t>
            </w:r>
            <w:r w:rsidR="00BD5E5F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117E4" w:rsidRDefault="00BD5E5F" w:rsidP="00657614">
            <w:pPr>
              <w:autoSpaceDE w:val="0"/>
              <w:autoSpaceDN w:val="0"/>
              <w:adjustRightInd w:val="0"/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657614">
              <w:rPr>
                <w:rFonts w:ascii="Arial" w:hAnsi="Arial" w:cs="Arial"/>
                <w:sz w:val="20"/>
                <w:szCs w:val="20"/>
              </w:rPr>
              <w:t xml:space="preserve"> dyktafonu przez</w:t>
            </w:r>
            <w:r>
              <w:rPr>
                <w:rFonts w:ascii="Arial" w:hAnsi="Arial" w:cs="Arial"/>
                <w:sz w:val="20"/>
                <w:szCs w:val="20"/>
              </w:rPr>
              <w:t xml:space="preserve"> Partnera – 479,70 zł. (kontrakt nr UM/00193/2016),</w:t>
            </w:r>
          </w:p>
          <w:p w:rsidR="00BD5E5F" w:rsidRPr="00055897" w:rsidRDefault="00BD5E5F" w:rsidP="00657614">
            <w:pPr>
              <w:autoSpaceDE w:val="0"/>
              <w:autoSpaceDN w:val="0"/>
              <w:adjustRightInd w:val="0"/>
              <w:spacing w:after="160" w:line="259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530C3">
              <w:rPr>
                <w:rFonts w:ascii="Arial" w:hAnsi="Arial" w:cs="Arial"/>
                <w:sz w:val="20"/>
                <w:szCs w:val="20"/>
              </w:rPr>
              <w:t xml:space="preserve">rocznego wsparcia licencji – 14 826,83 zł. (kontrakt DI/KF/DBG-IV-U-221/18) – </w:t>
            </w:r>
            <w:r w:rsidR="00295880">
              <w:rPr>
                <w:rFonts w:ascii="Arial" w:hAnsi="Arial" w:cs="Arial"/>
                <w:sz w:val="20"/>
                <w:szCs w:val="20"/>
              </w:rPr>
              <w:t>sprawa w toku –</w:t>
            </w:r>
            <w:bookmarkStart w:id="0" w:name="_GoBack"/>
            <w:bookmarkEnd w:id="0"/>
            <w:r w:rsidR="00A530C3" w:rsidRPr="004D2824">
              <w:rPr>
                <w:rFonts w:ascii="Arial" w:hAnsi="Arial" w:cs="Arial"/>
                <w:sz w:val="20"/>
                <w:szCs w:val="20"/>
              </w:rPr>
              <w:t xml:space="preserve"> odwołanie Beneficjenta od </w:t>
            </w:r>
            <w:r w:rsidR="00055897" w:rsidRPr="004D2824">
              <w:rPr>
                <w:rFonts w:ascii="Arial" w:hAnsi="Arial" w:cs="Arial"/>
                <w:sz w:val="20"/>
                <w:szCs w:val="20"/>
              </w:rPr>
              <w:t>stanowiska</w:t>
            </w:r>
            <w:r w:rsidR="00A530C3" w:rsidRPr="004D2824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="00055897" w:rsidRPr="004D2824">
              <w:rPr>
                <w:rFonts w:ascii="Arial" w:hAnsi="Arial" w:cs="Arial"/>
                <w:sz w:val="20"/>
                <w:szCs w:val="20"/>
              </w:rPr>
              <w:t>Z</w:t>
            </w:r>
            <w:r w:rsidR="00A530C3" w:rsidRPr="004D282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117E4" w:rsidRPr="00D174C4" w:rsidRDefault="00F117E4" w:rsidP="00F117E4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2824">
              <w:rPr>
                <w:rFonts w:ascii="Arial" w:hAnsi="Arial" w:cs="Arial"/>
                <w:sz w:val="20"/>
                <w:szCs w:val="20"/>
              </w:rPr>
              <w:t>Końcowy wniosek o płatność jest w trakcie oceny, w związku tym brakuje danych do podania poziomu certyfikacji w odniesieniu do zakontraktowanej wartości dofinansowania.</w:t>
            </w:r>
          </w:p>
        </w:tc>
      </w:tr>
      <w:tr w:rsidR="007A0A3D" w:rsidRPr="002450C4" w:rsidTr="007458F9">
        <w:tc>
          <w:tcPr>
            <w:tcW w:w="381" w:type="dxa"/>
          </w:tcPr>
          <w:p w:rsidR="007A0A3D" w:rsidRPr="00F43B7D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4" w:type="dxa"/>
          </w:tcPr>
          <w:p w:rsidR="007A0A3D" w:rsidRPr="002450C4" w:rsidRDefault="005A4344">
            <w:pPr>
              <w:rPr>
                <w:sz w:val="18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>Postęp rzeczowy</w:t>
            </w:r>
          </w:p>
        </w:tc>
        <w:tc>
          <w:tcPr>
            <w:tcW w:w="7654" w:type="dxa"/>
          </w:tcPr>
          <w:tbl>
            <w:tblPr>
              <w:tblStyle w:val="Tabela-Siatka"/>
              <w:tblW w:w="7400" w:type="dxa"/>
              <w:tblLayout w:type="fixed"/>
              <w:tblLook w:val="04A0" w:firstRow="1" w:lastRow="0" w:firstColumn="1" w:lastColumn="0" w:noHBand="0" w:noVBand="1"/>
              <w:tblCaption w:val="Kamienie milowe."/>
            </w:tblPr>
            <w:tblGrid>
              <w:gridCol w:w="1922"/>
              <w:gridCol w:w="1136"/>
              <w:gridCol w:w="1223"/>
              <w:gridCol w:w="1276"/>
              <w:gridCol w:w="1843"/>
            </w:tblGrid>
            <w:tr w:rsidR="007E34C5" w:rsidRPr="002B50C0" w:rsidTr="00107E18">
              <w:trPr>
                <w:tblHeader/>
              </w:trPr>
              <w:tc>
                <w:tcPr>
                  <w:tcW w:w="1922" w:type="dxa"/>
                  <w:shd w:val="clear" w:color="auto" w:fill="D0CECE" w:themeFill="background2" w:themeFillShade="E6"/>
                </w:tcPr>
                <w:p w:rsidR="007E34C5" w:rsidRPr="007E34C5" w:rsidRDefault="007E34C5" w:rsidP="00DD4892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E34C5">
                    <w:rPr>
                      <w:rFonts w:ascii="Arial" w:hAnsi="Arial" w:cs="Arial"/>
                      <w:b/>
                      <w:sz w:val="16"/>
                      <w:szCs w:val="16"/>
                    </w:rPr>
                    <w:t>Nazwa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:rsidR="007E34C5" w:rsidRPr="007E34C5" w:rsidRDefault="007E34C5" w:rsidP="007E34C5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E34C5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Powiązane wskaźniki projektu </w:t>
                  </w:r>
                </w:p>
              </w:tc>
              <w:tc>
                <w:tcPr>
                  <w:tcW w:w="1223" w:type="dxa"/>
                  <w:shd w:val="clear" w:color="auto" w:fill="D0CECE" w:themeFill="background2" w:themeFillShade="E6"/>
                </w:tcPr>
                <w:p w:rsidR="007E34C5" w:rsidRPr="007E34C5" w:rsidRDefault="007E34C5" w:rsidP="00DD4892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E34C5">
                    <w:rPr>
                      <w:rFonts w:ascii="Arial" w:hAnsi="Arial" w:cs="Arial"/>
                      <w:b/>
                      <w:sz w:val="16"/>
                      <w:szCs w:val="16"/>
                    </w:rPr>
                    <w:t>Planowany termin osiągnięcia</w:t>
                  </w:r>
                </w:p>
              </w:tc>
              <w:tc>
                <w:tcPr>
                  <w:tcW w:w="1276" w:type="dxa"/>
                  <w:shd w:val="clear" w:color="auto" w:fill="D0CECE" w:themeFill="background2" w:themeFillShade="E6"/>
                </w:tcPr>
                <w:p w:rsidR="007E34C5" w:rsidRPr="007E34C5" w:rsidRDefault="007E34C5" w:rsidP="00DD4892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E34C5">
                    <w:rPr>
                      <w:rFonts w:ascii="Arial" w:hAnsi="Arial" w:cs="Arial"/>
                      <w:b/>
                      <w:sz w:val="16"/>
                      <w:szCs w:val="16"/>
                    </w:rPr>
                    <w:t>Rzeczywisty termin osiągnięcia</w:t>
                  </w:r>
                </w:p>
              </w:tc>
              <w:tc>
                <w:tcPr>
                  <w:tcW w:w="1843" w:type="dxa"/>
                  <w:shd w:val="clear" w:color="auto" w:fill="D0CECE" w:themeFill="background2" w:themeFillShade="E6"/>
                </w:tcPr>
                <w:p w:rsidR="007E34C5" w:rsidRPr="007E34C5" w:rsidRDefault="007E34C5" w:rsidP="00DD4892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E34C5">
                    <w:rPr>
                      <w:rFonts w:ascii="Arial" w:hAnsi="Arial" w:cs="Arial"/>
                      <w:b/>
                      <w:sz w:val="16"/>
                      <w:szCs w:val="16"/>
                    </w:rPr>
                    <w:t>Status realizacji kamienia milowego</w:t>
                  </w:r>
                </w:p>
              </w:tc>
            </w:tr>
            <w:tr w:rsidR="007E34C5" w:rsidRPr="002B50C0" w:rsidTr="00107E18">
              <w:tc>
                <w:tcPr>
                  <w:tcW w:w="1922" w:type="dxa"/>
                </w:tcPr>
                <w:p w:rsidR="007E34C5" w:rsidRPr="00F43B7D" w:rsidRDefault="007E34C5" w:rsidP="00F43B7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 xml:space="preserve">PK1.2: Opublikowanie przez KE standardu </w:t>
                  </w:r>
                  <w:proofErr w:type="spellStart"/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eFakturowania</w:t>
                  </w:r>
                  <w:proofErr w:type="spellEnd"/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34C5" w:rsidRPr="00F43B7D" w:rsidRDefault="007E34C5" w:rsidP="00F43B7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23" w:type="dxa"/>
                </w:tcPr>
                <w:p w:rsidR="007E34C5" w:rsidRPr="00F43B7D" w:rsidRDefault="007E34C5" w:rsidP="00F43B7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 xml:space="preserve">05-2017 </w:t>
                  </w:r>
                </w:p>
              </w:tc>
              <w:tc>
                <w:tcPr>
                  <w:tcW w:w="1276" w:type="dxa"/>
                </w:tcPr>
                <w:p w:rsidR="007E34C5" w:rsidRPr="00F43B7D" w:rsidRDefault="007E34C5" w:rsidP="00F43B7D">
                  <w:pPr>
                    <w:pStyle w:val="Akapitzlist"/>
                    <w:autoSpaceDE w:val="0"/>
                    <w:autoSpaceDN w:val="0"/>
                    <w:adjustRightInd w:val="0"/>
                    <w:spacing w:after="160" w:line="259" w:lineRule="auto"/>
                    <w:ind w:left="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10-2017</w:t>
                  </w:r>
                </w:p>
              </w:tc>
              <w:tc>
                <w:tcPr>
                  <w:tcW w:w="1843" w:type="dxa"/>
                </w:tcPr>
                <w:p w:rsidR="00F43B7D" w:rsidRDefault="007E34C5" w:rsidP="00F43B7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 xml:space="preserve">Osiągnięty. Opóźnienia wynikały z przedłużających się </w:t>
                  </w:r>
                </w:p>
                <w:p w:rsidR="007E34C5" w:rsidRPr="00F43B7D" w:rsidRDefault="007E34C5" w:rsidP="00F43B7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prac KE.</w:t>
                  </w:r>
                </w:p>
              </w:tc>
            </w:tr>
            <w:tr w:rsidR="007E34C5" w:rsidRPr="002B50C0" w:rsidTr="00107E18">
              <w:tc>
                <w:tcPr>
                  <w:tcW w:w="1922" w:type="dxa"/>
                </w:tcPr>
                <w:p w:rsidR="007E34C5" w:rsidRPr="00F43B7D" w:rsidRDefault="007E34C5" w:rsidP="00F43B7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 xml:space="preserve">PK1.3: Przystąpienie strony polskiej (MR) do </w:t>
                  </w:r>
                  <w:proofErr w:type="spellStart"/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OpenPEPPOL</w:t>
                  </w:r>
                  <w:proofErr w:type="spellEnd"/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34C5" w:rsidRPr="00F43B7D" w:rsidRDefault="007E34C5" w:rsidP="00F43B7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23" w:type="dxa"/>
                </w:tcPr>
                <w:p w:rsidR="007E34C5" w:rsidRPr="00F43B7D" w:rsidRDefault="007E34C5" w:rsidP="00F43B7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02-2017</w:t>
                  </w:r>
                </w:p>
              </w:tc>
              <w:tc>
                <w:tcPr>
                  <w:tcW w:w="1276" w:type="dxa"/>
                </w:tcPr>
                <w:p w:rsidR="007E34C5" w:rsidRPr="00F43B7D" w:rsidRDefault="007E34C5" w:rsidP="00F43B7D">
                  <w:pPr>
                    <w:pStyle w:val="Akapitzlist"/>
                    <w:autoSpaceDE w:val="0"/>
                    <w:autoSpaceDN w:val="0"/>
                    <w:adjustRightInd w:val="0"/>
                    <w:spacing w:after="160" w:line="259" w:lineRule="auto"/>
                    <w:ind w:left="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12-2016</w:t>
                  </w:r>
                </w:p>
              </w:tc>
              <w:tc>
                <w:tcPr>
                  <w:tcW w:w="1843" w:type="dxa"/>
                </w:tcPr>
                <w:p w:rsidR="007E34C5" w:rsidRPr="00F43B7D" w:rsidRDefault="007E34C5" w:rsidP="00F43B7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Osiągnięty.</w:t>
                  </w:r>
                </w:p>
              </w:tc>
            </w:tr>
            <w:tr w:rsidR="007E34C5" w:rsidRPr="002B50C0" w:rsidTr="00107E18">
              <w:tc>
                <w:tcPr>
                  <w:tcW w:w="1922" w:type="dxa"/>
                </w:tcPr>
                <w:p w:rsidR="007E34C5" w:rsidRPr="00F43B7D" w:rsidRDefault="007E34C5" w:rsidP="00F43B7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 xml:space="preserve">PK2.5: Przygotowanie </w:t>
                  </w: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strony www informacyjnej PEF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34C5" w:rsidRPr="00F43B7D" w:rsidRDefault="007E34C5" w:rsidP="00F43B7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-</w:t>
                  </w:r>
                </w:p>
              </w:tc>
              <w:tc>
                <w:tcPr>
                  <w:tcW w:w="1223" w:type="dxa"/>
                </w:tcPr>
                <w:p w:rsidR="007E34C5" w:rsidRPr="00F43B7D" w:rsidRDefault="007E34C5" w:rsidP="00F43B7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 xml:space="preserve">07-2017 </w:t>
                  </w:r>
                </w:p>
              </w:tc>
              <w:tc>
                <w:tcPr>
                  <w:tcW w:w="1276" w:type="dxa"/>
                </w:tcPr>
                <w:p w:rsidR="007E34C5" w:rsidRPr="00F43B7D" w:rsidRDefault="007E34C5" w:rsidP="00F43B7D">
                  <w:pPr>
                    <w:pStyle w:val="Akapitzlist"/>
                    <w:autoSpaceDE w:val="0"/>
                    <w:autoSpaceDN w:val="0"/>
                    <w:adjustRightInd w:val="0"/>
                    <w:spacing w:after="160" w:line="259" w:lineRule="auto"/>
                    <w:ind w:left="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07-2017</w:t>
                  </w:r>
                </w:p>
              </w:tc>
              <w:tc>
                <w:tcPr>
                  <w:tcW w:w="1843" w:type="dxa"/>
                </w:tcPr>
                <w:p w:rsidR="007E34C5" w:rsidRPr="00F43B7D" w:rsidRDefault="007E34C5" w:rsidP="00F43B7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Osiągnięty.</w:t>
                  </w:r>
                </w:p>
              </w:tc>
            </w:tr>
            <w:tr w:rsidR="007E34C5" w:rsidRPr="002B50C0" w:rsidTr="00107E18">
              <w:tc>
                <w:tcPr>
                  <w:tcW w:w="1922" w:type="dxa"/>
                </w:tcPr>
                <w:p w:rsidR="007E34C5" w:rsidRPr="00F43B7D" w:rsidRDefault="007E34C5" w:rsidP="00F43B7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PK2.6: Przygotowana specyfikacja wymagań oraz dokumentacja do przeprowadzenia przetargu na zakup funkcjonalności PEF</w:t>
                  </w: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34C5" w:rsidRPr="00F43B7D" w:rsidRDefault="007E34C5" w:rsidP="00F43B7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23" w:type="dxa"/>
                </w:tcPr>
                <w:p w:rsidR="007E34C5" w:rsidRPr="00F43B7D" w:rsidRDefault="007E34C5" w:rsidP="00F43B7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01-2017</w:t>
                  </w:r>
                </w:p>
              </w:tc>
              <w:tc>
                <w:tcPr>
                  <w:tcW w:w="1276" w:type="dxa"/>
                </w:tcPr>
                <w:p w:rsidR="007E34C5" w:rsidRPr="00F43B7D" w:rsidRDefault="007E34C5" w:rsidP="00F43B7D">
                  <w:pPr>
                    <w:pStyle w:val="Akapitzlist"/>
                    <w:autoSpaceDE w:val="0"/>
                    <w:autoSpaceDN w:val="0"/>
                    <w:adjustRightInd w:val="0"/>
                    <w:spacing w:after="160" w:line="259" w:lineRule="auto"/>
                    <w:ind w:left="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01-2017</w:t>
                  </w:r>
                </w:p>
              </w:tc>
              <w:tc>
                <w:tcPr>
                  <w:tcW w:w="1843" w:type="dxa"/>
                </w:tcPr>
                <w:p w:rsidR="007E34C5" w:rsidRPr="00F43B7D" w:rsidRDefault="007E34C5" w:rsidP="00F43B7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Osiągnięty.</w:t>
                  </w:r>
                </w:p>
              </w:tc>
            </w:tr>
            <w:tr w:rsidR="007E34C5" w:rsidRPr="002B50C0" w:rsidTr="00107E18">
              <w:tc>
                <w:tcPr>
                  <w:tcW w:w="1922" w:type="dxa"/>
                </w:tcPr>
                <w:p w:rsidR="007E34C5" w:rsidRPr="00F43B7D" w:rsidRDefault="007E34C5" w:rsidP="00F43B7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PK2.12a: Udostępnione dwie główne usługi PEF (e-faktura i e-zamówienie)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34C5" w:rsidRPr="00F43B7D" w:rsidRDefault="007E34C5" w:rsidP="00F43B7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Wskaźnik nr 3 – 2 usługi</w:t>
                  </w:r>
                </w:p>
              </w:tc>
              <w:tc>
                <w:tcPr>
                  <w:tcW w:w="1223" w:type="dxa"/>
                </w:tcPr>
                <w:p w:rsidR="007E34C5" w:rsidRPr="00F43B7D" w:rsidRDefault="007E34C5" w:rsidP="00F43B7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02-2018</w:t>
                  </w:r>
                </w:p>
              </w:tc>
              <w:tc>
                <w:tcPr>
                  <w:tcW w:w="1276" w:type="dxa"/>
                </w:tcPr>
                <w:p w:rsidR="007E34C5" w:rsidRPr="00F43B7D" w:rsidRDefault="007E34C5" w:rsidP="00F43B7D">
                  <w:pPr>
                    <w:pStyle w:val="Akapitzlist"/>
                    <w:autoSpaceDE w:val="0"/>
                    <w:autoSpaceDN w:val="0"/>
                    <w:adjustRightInd w:val="0"/>
                    <w:spacing w:after="160" w:line="259" w:lineRule="auto"/>
                    <w:ind w:left="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09-2018</w:t>
                  </w:r>
                </w:p>
                <w:p w:rsidR="007E34C5" w:rsidRPr="00F43B7D" w:rsidRDefault="007E34C5" w:rsidP="00F43B7D">
                  <w:pPr>
                    <w:pStyle w:val="Akapitzlist"/>
                    <w:autoSpaceDE w:val="0"/>
                    <w:autoSpaceDN w:val="0"/>
                    <w:adjustRightInd w:val="0"/>
                    <w:spacing w:after="160" w:line="259" w:lineRule="auto"/>
                    <w:ind w:left="7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</w:tcPr>
                <w:p w:rsidR="007E34C5" w:rsidRPr="00F43B7D" w:rsidRDefault="007E34C5" w:rsidP="00F43B7D">
                  <w:pPr>
                    <w:autoSpaceDE w:val="0"/>
                    <w:autoSpaceDN w:val="0"/>
                    <w:adjustRightInd w:val="0"/>
                    <w:spacing w:after="160" w:line="259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Osiągnięty – opóźnienie wynikało z przedłużającej się procedurą przetargowej na Brokerów PEF.</w:t>
                  </w:r>
                </w:p>
              </w:tc>
            </w:tr>
            <w:tr w:rsidR="007E34C5" w:rsidRPr="002B50C0" w:rsidTr="00107E18">
              <w:tc>
                <w:tcPr>
                  <w:tcW w:w="1922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PK2.12b: Uruchomienie wszystkich pozostałych usług PEF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Wskaźnik nr 3 – 4 usługi</w:t>
                  </w: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br/>
                    <w:t>Wskaźnik nr 4 – 1 usługa</w:t>
                  </w:r>
                </w:p>
              </w:tc>
              <w:tc>
                <w:tcPr>
                  <w:tcW w:w="1223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09-2018</w:t>
                  </w:r>
                </w:p>
              </w:tc>
              <w:tc>
                <w:tcPr>
                  <w:tcW w:w="1276" w:type="dxa"/>
                </w:tcPr>
                <w:p w:rsidR="007E34C5" w:rsidRPr="00F43B7D" w:rsidRDefault="007E34C5" w:rsidP="00DD4892">
                  <w:pPr>
                    <w:pStyle w:val="Akapitzlist"/>
                    <w:ind w:left="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1-2019</w:t>
                  </w:r>
                </w:p>
              </w:tc>
              <w:tc>
                <w:tcPr>
                  <w:tcW w:w="1843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Osiągnięty – opóźnienie wynikało z przedłużającej się procedurą przetargowej na Brokerów PEF.</w:t>
                  </w:r>
                </w:p>
              </w:tc>
            </w:tr>
            <w:tr w:rsidR="007E34C5" w:rsidRPr="002B50C0" w:rsidTr="00107E18">
              <w:tc>
                <w:tcPr>
                  <w:tcW w:w="1922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PK2.12c: Przygotowana dokumentacja techniczna PEF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23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09-2018</w:t>
                  </w:r>
                </w:p>
              </w:tc>
              <w:tc>
                <w:tcPr>
                  <w:tcW w:w="1276" w:type="dxa"/>
                </w:tcPr>
                <w:p w:rsidR="007E34C5" w:rsidRPr="00F43B7D" w:rsidRDefault="007E34C5" w:rsidP="00DD4892">
                  <w:pPr>
                    <w:pStyle w:val="Akapitzlist"/>
                    <w:ind w:left="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1-2019</w:t>
                  </w:r>
                </w:p>
              </w:tc>
              <w:tc>
                <w:tcPr>
                  <w:tcW w:w="1843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Osiągnięty – opóźnienie wynikało z przedłużającej się procedurą przetargowej na Brokerów PEF.</w:t>
                  </w:r>
                </w:p>
              </w:tc>
            </w:tr>
            <w:tr w:rsidR="007E34C5" w:rsidRPr="002B50C0" w:rsidTr="00107E18">
              <w:tc>
                <w:tcPr>
                  <w:tcW w:w="1922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PK2.12d: Opracowana dokumentacja przetargowa do wyłonienia wykonawcy badań użyteczności bezpieczeństwa i dostępności usług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23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09-2017</w:t>
                  </w:r>
                </w:p>
              </w:tc>
              <w:tc>
                <w:tcPr>
                  <w:tcW w:w="1276" w:type="dxa"/>
                </w:tcPr>
                <w:p w:rsidR="007E34C5" w:rsidRPr="00F43B7D" w:rsidRDefault="007E34C5" w:rsidP="00DD4892">
                  <w:pPr>
                    <w:pStyle w:val="Akapitzlist"/>
                    <w:ind w:left="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10-2017</w:t>
                  </w:r>
                </w:p>
              </w:tc>
              <w:tc>
                <w:tcPr>
                  <w:tcW w:w="1843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Osiągnięty – opóźnienie wynikało z przedłużającej się procedurą przetargowej na Brokerów PEF.</w:t>
                  </w:r>
                </w:p>
              </w:tc>
            </w:tr>
            <w:tr w:rsidR="007E34C5" w:rsidRPr="002B50C0" w:rsidTr="00107E18">
              <w:tc>
                <w:tcPr>
                  <w:tcW w:w="1922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PK2.12.e: Uzyskane wyniki z I edycji badania użyteczności bezpieczeństwa i dostępności usług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23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03-2018</w:t>
                  </w:r>
                </w:p>
              </w:tc>
              <w:tc>
                <w:tcPr>
                  <w:tcW w:w="1276" w:type="dxa"/>
                </w:tcPr>
                <w:p w:rsidR="007E34C5" w:rsidRPr="00F43B7D" w:rsidRDefault="007E34C5" w:rsidP="00DD4892">
                  <w:pPr>
                    <w:pStyle w:val="Akapitzlist"/>
                    <w:ind w:left="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1-2019</w:t>
                  </w:r>
                </w:p>
              </w:tc>
              <w:tc>
                <w:tcPr>
                  <w:tcW w:w="1843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Osiągnięty – opóźnienie wynikało z przedłużającej się procedurą przetargowej na Brokerów PEF.</w:t>
                  </w:r>
                </w:p>
              </w:tc>
            </w:tr>
            <w:tr w:rsidR="007E34C5" w:rsidRPr="002B50C0" w:rsidTr="00107E18">
              <w:tc>
                <w:tcPr>
                  <w:tcW w:w="1922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PK2.12.f: Uzyskane wyniki z II edycji badania użyteczności bezpieczeństwa i dostępności usług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23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03-2019</w:t>
                  </w:r>
                </w:p>
              </w:tc>
              <w:tc>
                <w:tcPr>
                  <w:tcW w:w="1276" w:type="dxa"/>
                </w:tcPr>
                <w:p w:rsidR="007E34C5" w:rsidRPr="00F43B7D" w:rsidRDefault="007E34C5" w:rsidP="00DD4892">
                  <w:pPr>
                    <w:pStyle w:val="Akapitzlist"/>
                    <w:ind w:left="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06-2019</w:t>
                  </w:r>
                </w:p>
              </w:tc>
              <w:tc>
                <w:tcPr>
                  <w:tcW w:w="1843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Osiągnięty - opóźnienie wynikało z przedłużającej się procedurą przetargowej na Brokerów PEF.</w:t>
                  </w:r>
                </w:p>
              </w:tc>
            </w:tr>
            <w:tr w:rsidR="007E34C5" w:rsidRPr="002B50C0" w:rsidTr="00107E18">
              <w:tc>
                <w:tcPr>
                  <w:tcW w:w="1922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PK3.1.Opracowanie szczegółowego planu działań edukacyjnych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23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02-2017</w:t>
                  </w:r>
                </w:p>
              </w:tc>
              <w:tc>
                <w:tcPr>
                  <w:tcW w:w="1276" w:type="dxa"/>
                </w:tcPr>
                <w:p w:rsidR="007E34C5" w:rsidRPr="00F43B7D" w:rsidRDefault="007E34C5" w:rsidP="00DD4892">
                  <w:pPr>
                    <w:pStyle w:val="Akapitzlist"/>
                    <w:ind w:left="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02-2017</w:t>
                  </w:r>
                </w:p>
              </w:tc>
              <w:tc>
                <w:tcPr>
                  <w:tcW w:w="1843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Osiągnięty.</w:t>
                  </w:r>
                </w:p>
              </w:tc>
            </w:tr>
            <w:tr w:rsidR="007E34C5" w:rsidRPr="002B50C0" w:rsidTr="00107E18">
              <w:tc>
                <w:tcPr>
                  <w:tcW w:w="1922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PK3.2: Opracowana dokumentacja przetargowa związana z obsługą zadań szkoleniowych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23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02-2017</w:t>
                  </w:r>
                </w:p>
              </w:tc>
              <w:tc>
                <w:tcPr>
                  <w:tcW w:w="1276" w:type="dxa"/>
                </w:tcPr>
                <w:p w:rsidR="007E34C5" w:rsidRPr="00F43B7D" w:rsidRDefault="007E34C5" w:rsidP="00DD4892">
                  <w:pPr>
                    <w:pStyle w:val="Akapitzlist"/>
                    <w:ind w:left="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02-2017</w:t>
                  </w:r>
                </w:p>
              </w:tc>
              <w:tc>
                <w:tcPr>
                  <w:tcW w:w="1843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Osiągnięty.</w:t>
                  </w:r>
                </w:p>
              </w:tc>
            </w:tr>
            <w:tr w:rsidR="007E34C5" w:rsidRPr="002B50C0" w:rsidTr="00107E18">
              <w:tc>
                <w:tcPr>
                  <w:tcW w:w="1922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PK3.3: Opracowana dokumentacja przetargowa dot. wyboru doradców MR w zakresie standaryzacji rozwiązań IT,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23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01-2018</w:t>
                  </w:r>
                </w:p>
              </w:tc>
              <w:tc>
                <w:tcPr>
                  <w:tcW w:w="1276" w:type="dxa"/>
                </w:tcPr>
                <w:p w:rsidR="007E34C5" w:rsidRPr="00F43B7D" w:rsidRDefault="007E34C5" w:rsidP="00DD4892">
                  <w:pPr>
                    <w:pStyle w:val="Akapitzlist"/>
                    <w:ind w:left="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03-2018</w:t>
                  </w:r>
                </w:p>
              </w:tc>
              <w:tc>
                <w:tcPr>
                  <w:tcW w:w="1843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Osiągnięty – opóźnienie wynikało z przedłużającej się procedurą przetargowej na Brokerów PEF.</w:t>
                  </w:r>
                </w:p>
              </w:tc>
            </w:tr>
            <w:tr w:rsidR="007E34C5" w:rsidRPr="002B50C0" w:rsidTr="00107E18">
              <w:tc>
                <w:tcPr>
                  <w:tcW w:w="1922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PK4.1.Opracowanie planu promocji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23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12-2016</w:t>
                  </w:r>
                </w:p>
              </w:tc>
              <w:tc>
                <w:tcPr>
                  <w:tcW w:w="1276" w:type="dxa"/>
                </w:tcPr>
                <w:p w:rsidR="007E34C5" w:rsidRPr="00F43B7D" w:rsidRDefault="007E34C5" w:rsidP="00DD4892">
                  <w:pPr>
                    <w:pStyle w:val="Akapitzlist"/>
                    <w:ind w:left="7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12-2016</w:t>
                  </w:r>
                </w:p>
              </w:tc>
              <w:tc>
                <w:tcPr>
                  <w:tcW w:w="1843" w:type="dxa"/>
                </w:tcPr>
                <w:p w:rsidR="007E34C5" w:rsidRPr="00F43B7D" w:rsidRDefault="007E34C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Osiągnięty.</w:t>
                  </w:r>
                </w:p>
              </w:tc>
            </w:tr>
          </w:tbl>
          <w:p w:rsidR="002450C4" w:rsidRPr="002450C4" w:rsidRDefault="002450C4" w:rsidP="009D3D41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4D135D" w:rsidRPr="002450C4" w:rsidTr="007458F9">
        <w:tc>
          <w:tcPr>
            <w:tcW w:w="381" w:type="dxa"/>
          </w:tcPr>
          <w:p w:rsidR="004D135D" w:rsidRPr="00F43B7D" w:rsidRDefault="004D135D" w:rsidP="007A0A3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4" w:type="dxa"/>
          </w:tcPr>
          <w:p w:rsidR="004D135D" w:rsidRDefault="004D135D">
            <w:pPr>
              <w:rPr>
                <w:sz w:val="18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>E-usługi dla obywateli i przedsiębiorców</w:t>
            </w:r>
          </w:p>
        </w:tc>
        <w:tc>
          <w:tcPr>
            <w:tcW w:w="7654" w:type="dxa"/>
          </w:tcPr>
          <w:tbl>
            <w:tblPr>
              <w:tblStyle w:val="Tabela-Siatka"/>
              <w:tblW w:w="7400" w:type="dxa"/>
              <w:tblLayout w:type="fixed"/>
              <w:tblLook w:val="04A0" w:firstRow="1" w:lastRow="0" w:firstColumn="1" w:lastColumn="0" w:noHBand="0" w:noVBand="1"/>
              <w:tblCaption w:val="E-usługi A2A, A2B, A2C "/>
            </w:tblPr>
            <w:tblGrid>
              <w:gridCol w:w="2018"/>
              <w:gridCol w:w="1271"/>
              <w:gridCol w:w="1417"/>
              <w:gridCol w:w="2694"/>
            </w:tblGrid>
            <w:tr w:rsidR="007E34C5" w:rsidRPr="002B50C0" w:rsidTr="00107E18">
              <w:trPr>
                <w:tblHeader/>
              </w:trPr>
              <w:tc>
                <w:tcPr>
                  <w:tcW w:w="2018" w:type="dxa"/>
                  <w:shd w:val="clear" w:color="auto" w:fill="D0CECE" w:themeFill="background2" w:themeFillShade="E6"/>
                  <w:vAlign w:val="center"/>
                </w:tcPr>
                <w:p w:rsidR="007E34C5" w:rsidRPr="00141A92" w:rsidRDefault="007E34C5" w:rsidP="00DD489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1271" w:type="dxa"/>
                  <w:shd w:val="clear" w:color="auto" w:fill="D0CECE" w:themeFill="background2" w:themeFillShade="E6"/>
                  <w:vAlign w:val="center"/>
                </w:tcPr>
                <w:p w:rsidR="007E34C5" w:rsidRPr="00141A92" w:rsidRDefault="007E34C5" w:rsidP="00DD489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Planowana data wdrożenia</w:t>
                  </w:r>
                </w:p>
              </w:tc>
              <w:tc>
                <w:tcPr>
                  <w:tcW w:w="1417" w:type="dxa"/>
                  <w:shd w:val="clear" w:color="auto" w:fill="D0CECE" w:themeFill="background2" w:themeFillShade="E6"/>
                </w:tcPr>
                <w:p w:rsidR="007E34C5" w:rsidRPr="00141A92" w:rsidRDefault="007E34C5" w:rsidP="00DD489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Rzeczywista data wdrożenia</w:t>
                  </w:r>
                </w:p>
              </w:tc>
              <w:tc>
                <w:tcPr>
                  <w:tcW w:w="2694" w:type="dxa"/>
                  <w:shd w:val="clear" w:color="auto" w:fill="D0CECE" w:themeFill="background2" w:themeFillShade="E6"/>
                  <w:vAlign w:val="center"/>
                </w:tcPr>
                <w:p w:rsidR="007E34C5" w:rsidRPr="00141A92" w:rsidRDefault="00FD7D93" w:rsidP="00DD489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Poziom usługi</w:t>
                  </w:r>
                </w:p>
              </w:tc>
            </w:tr>
            <w:tr w:rsidR="00FD7D93" w:rsidRPr="002B50C0" w:rsidTr="00107E18">
              <w:tc>
                <w:tcPr>
                  <w:tcW w:w="2018" w:type="dxa"/>
                </w:tcPr>
                <w:p w:rsidR="00FD7D93" w:rsidRPr="00F43B7D" w:rsidRDefault="00FD7D93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Usługa zamawiania dostawy</w:t>
                  </w:r>
                </w:p>
              </w:tc>
              <w:tc>
                <w:tcPr>
                  <w:tcW w:w="1271" w:type="dxa"/>
                </w:tcPr>
                <w:p w:rsidR="00FD7D93" w:rsidRPr="00F43B7D" w:rsidRDefault="00FD7D93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09-2018</w:t>
                  </w:r>
                </w:p>
              </w:tc>
              <w:tc>
                <w:tcPr>
                  <w:tcW w:w="1417" w:type="dxa"/>
                </w:tcPr>
                <w:p w:rsidR="00FD7D93" w:rsidRPr="00F43B7D" w:rsidRDefault="00FD7D93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04-2019</w:t>
                  </w:r>
                </w:p>
              </w:tc>
              <w:tc>
                <w:tcPr>
                  <w:tcW w:w="2694" w:type="dxa"/>
                </w:tcPr>
                <w:p w:rsidR="00FD7D93" w:rsidRDefault="00FD7D93">
                  <w:pPr>
                    <w:pStyle w:val="Default"/>
                    <w:rPr>
                      <w:color w:val="auto"/>
                    </w:rPr>
                  </w:pPr>
                </w:p>
                <w:p w:rsidR="00FD7D93" w:rsidRDefault="00FD7D9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poziom dojrzałoś</w:t>
                  </w:r>
                  <w:r w:rsidR="00A31D45">
                    <w:rPr>
                      <w:sz w:val="20"/>
                      <w:szCs w:val="20"/>
                    </w:rPr>
                    <w:t>ci 5</w:t>
                  </w:r>
                  <w:r>
                    <w:rPr>
                      <w:sz w:val="20"/>
                      <w:szCs w:val="20"/>
                    </w:rPr>
                    <w:t xml:space="preserve"> - </w:t>
                  </w:r>
                  <w:r w:rsidR="00A31D45">
                    <w:rPr>
                      <w:sz w:val="20"/>
                      <w:szCs w:val="20"/>
                    </w:rPr>
                    <w:t>personalizacja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FD7D93" w:rsidRDefault="00FD7D9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  <w:tr w:rsidR="00A31D45" w:rsidRPr="002B50C0" w:rsidTr="00107E18">
              <w:tc>
                <w:tcPr>
                  <w:tcW w:w="2018" w:type="dxa"/>
                </w:tcPr>
                <w:p w:rsidR="00A31D45" w:rsidRPr="00F43B7D" w:rsidRDefault="00A31D4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Usługa awizowania dostawy</w:t>
                  </w:r>
                </w:p>
              </w:tc>
              <w:tc>
                <w:tcPr>
                  <w:tcW w:w="1271" w:type="dxa"/>
                </w:tcPr>
                <w:p w:rsidR="00A31D45" w:rsidRPr="00F43B7D" w:rsidRDefault="00A31D4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09-2018</w:t>
                  </w:r>
                </w:p>
              </w:tc>
              <w:tc>
                <w:tcPr>
                  <w:tcW w:w="1417" w:type="dxa"/>
                </w:tcPr>
                <w:p w:rsidR="00A31D45" w:rsidRPr="00F43B7D" w:rsidRDefault="00A31D4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04-2019</w:t>
                  </w:r>
                </w:p>
              </w:tc>
              <w:tc>
                <w:tcPr>
                  <w:tcW w:w="2694" w:type="dxa"/>
                </w:tcPr>
                <w:p w:rsidR="00A31D45" w:rsidRPr="00A31D45" w:rsidRDefault="00A31D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A31D4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poziom dojrzałości 5 - personalizacja </w:t>
                  </w:r>
                </w:p>
              </w:tc>
            </w:tr>
            <w:tr w:rsidR="00A31D45" w:rsidRPr="002B50C0" w:rsidTr="00107E18">
              <w:tc>
                <w:tcPr>
                  <w:tcW w:w="2018" w:type="dxa"/>
                </w:tcPr>
                <w:p w:rsidR="00A31D45" w:rsidRPr="00F43B7D" w:rsidRDefault="00A31D4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Usługa potwierdzania odbioru</w:t>
                  </w:r>
                </w:p>
              </w:tc>
              <w:tc>
                <w:tcPr>
                  <w:tcW w:w="1271" w:type="dxa"/>
                </w:tcPr>
                <w:p w:rsidR="00A31D45" w:rsidRPr="00F43B7D" w:rsidRDefault="00A31D4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09-2018</w:t>
                  </w:r>
                </w:p>
              </w:tc>
              <w:tc>
                <w:tcPr>
                  <w:tcW w:w="1417" w:type="dxa"/>
                </w:tcPr>
                <w:p w:rsidR="00A31D45" w:rsidRPr="00F43B7D" w:rsidRDefault="00A31D4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04-2019</w:t>
                  </w:r>
                </w:p>
              </w:tc>
              <w:tc>
                <w:tcPr>
                  <w:tcW w:w="2694" w:type="dxa"/>
                </w:tcPr>
                <w:p w:rsidR="00A31D45" w:rsidRPr="00A31D45" w:rsidRDefault="00A31D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A31D4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poziom dojrzałości 5 - personalizacja </w:t>
                  </w:r>
                </w:p>
              </w:tc>
            </w:tr>
            <w:tr w:rsidR="00A31D45" w:rsidRPr="002B50C0" w:rsidTr="00107E18">
              <w:tc>
                <w:tcPr>
                  <w:tcW w:w="2018" w:type="dxa"/>
                </w:tcPr>
                <w:p w:rsidR="00A31D45" w:rsidRPr="00F43B7D" w:rsidRDefault="00A31D4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Usługa fakturowania</w:t>
                  </w:r>
                </w:p>
              </w:tc>
              <w:tc>
                <w:tcPr>
                  <w:tcW w:w="1271" w:type="dxa"/>
                </w:tcPr>
                <w:p w:rsidR="00A31D45" w:rsidRPr="00F43B7D" w:rsidRDefault="00A31D4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09-2018</w:t>
                  </w:r>
                </w:p>
              </w:tc>
              <w:tc>
                <w:tcPr>
                  <w:tcW w:w="1417" w:type="dxa"/>
                </w:tcPr>
                <w:p w:rsidR="00A31D45" w:rsidRPr="00F43B7D" w:rsidRDefault="00A31D4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04-2019</w:t>
                  </w:r>
                </w:p>
              </w:tc>
              <w:tc>
                <w:tcPr>
                  <w:tcW w:w="2694" w:type="dxa"/>
                </w:tcPr>
                <w:p w:rsidR="00A31D45" w:rsidRPr="00A31D45" w:rsidRDefault="00A31D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A31D4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poziom dojrzałości 5 - personalizacja </w:t>
                  </w:r>
                </w:p>
              </w:tc>
            </w:tr>
            <w:tr w:rsidR="00A31D45" w:rsidRPr="002B50C0" w:rsidTr="00107E18">
              <w:tc>
                <w:tcPr>
                  <w:tcW w:w="2018" w:type="dxa"/>
                </w:tcPr>
                <w:p w:rsidR="00A31D45" w:rsidRPr="00F43B7D" w:rsidRDefault="00A31D4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Usługa wystawiania faktury korygującej</w:t>
                  </w:r>
                </w:p>
              </w:tc>
              <w:tc>
                <w:tcPr>
                  <w:tcW w:w="1271" w:type="dxa"/>
                </w:tcPr>
                <w:p w:rsidR="00A31D45" w:rsidRPr="00F43B7D" w:rsidRDefault="00A31D4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09-2018</w:t>
                  </w:r>
                </w:p>
              </w:tc>
              <w:tc>
                <w:tcPr>
                  <w:tcW w:w="1417" w:type="dxa"/>
                </w:tcPr>
                <w:p w:rsidR="00A31D45" w:rsidRPr="00F43B7D" w:rsidRDefault="00A31D4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04-2019</w:t>
                  </w:r>
                </w:p>
              </w:tc>
              <w:tc>
                <w:tcPr>
                  <w:tcW w:w="2694" w:type="dxa"/>
                </w:tcPr>
                <w:p w:rsidR="00A31D45" w:rsidRPr="00A31D45" w:rsidRDefault="00A31D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A31D4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poziom dojrzałości 5 - personalizacja </w:t>
                  </w:r>
                </w:p>
              </w:tc>
            </w:tr>
            <w:tr w:rsidR="00A31D45" w:rsidRPr="002B50C0" w:rsidTr="00107E18">
              <w:tc>
                <w:tcPr>
                  <w:tcW w:w="2018" w:type="dxa"/>
                </w:tcPr>
                <w:p w:rsidR="00A31D45" w:rsidRPr="00F43B7D" w:rsidRDefault="00A31D4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Usługa wystawiania noty księgowej</w:t>
                  </w:r>
                </w:p>
              </w:tc>
              <w:tc>
                <w:tcPr>
                  <w:tcW w:w="1271" w:type="dxa"/>
                </w:tcPr>
                <w:p w:rsidR="00A31D45" w:rsidRPr="00F43B7D" w:rsidRDefault="00A31D4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09-2018</w:t>
                  </w:r>
                </w:p>
              </w:tc>
              <w:tc>
                <w:tcPr>
                  <w:tcW w:w="1417" w:type="dxa"/>
                </w:tcPr>
                <w:p w:rsidR="00A31D45" w:rsidRPr="00F43B7D" w:rsidRDefault="00A31D4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04-2019</w:t>
                  </w:r>
                </w:p>
              </w:tc>
              <w:tc>
                <w:tcPr>
                  <w:tcW w:w="2694" w:type="dxa"/>
                </w:tcPr>
                <w:p w:rsidR="00A31D45" w:rsidRPr="00A31D45" w:rsidRDefault="00A31D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A31D4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poziom dojrzałości 5 - personalizacja </w:t>
                  </w:r>
                </w:p>
              </w:tc>
            </w:tr>
            <w:tr w:rsidR="00A31D45" w:rsidRPr="002B50C0" w:rsidTr="00107E18">
              <w:tc>
                <w:tcPr>
                  <w:tcW w:w="2018" w:type="dxa"/>
                </w:tcPr>
                <w:p w:rsidR="00A31D45" w:rsidRPr="00F43B7D" w:rsidRDefault="00A31D4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Usługa generowania raportów i zestawień dla władz publicznych</w:t>
                  </w:r>
                </w:p>
              </w:tc>
              <w:tc>
                <w:tcPr>
                  <w:tcW w:w="1271" w:type="dxa"/>
                </w:tcPr>
                <w:p w:rsidR="00A31D45" w:rsidRPr="00F43B7D" w:rsidRDefault="00A31D4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09-2018</w:t>
                  </w:r>
                </w:p>
              </w:tc>
              <w:tc>
                <w:tcPr>
                  <w:tcW w:w="1417" w:type="dxa"/>
                </w:tcPr>
                <w:p w:rsidR="00A31D45" w:rsidRPr="00F43B7D" w:rsidRDefault="00A31D45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04-2019</w:t>
                  </w:r>
                </w:p>
              </w:tc>
              <w:tc>
                <w:tcPr>
                  <w:tcW w:w="2694" w:type="dxa"/>
                </w:tcPr>
                <w:p w:rsidR="00A31D45" w:rsidRPr="00A31D45" w:rsidRDefault="00A31D4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A31D45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poziom dojrzałości 5 - personalizacja </w:t>
                  </w:r>
                </w:p>
              </w:tc>
            </w:tr>
            <w:tr w:rsidR="00FD7D93" w:rsidRPr="002B50C0" w:rsidTr="00A31D45">
              <w:tc>
                <w:tcPr>
                  <w:tcW w:w="7400" w:type="dxa"/>
                  <w:gridSpan w:val="4"/>
                </w:tcPr>
                <w:p w:rsidR="00A31D45" w:rsidRDefault="00A31D45" w:rsidP="00A31D45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:rsidR="00A31D45" w:rsidRDefault="00A31D45" w:rsidP="00A31D45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Od momentu planowania usług</w:t>
                  </w:r>
                  <w:r w:rsidRPr="00F43B7D">
                    <w:rPr>
                      <w:sz w:val="20"/>
                      <w:szCs w:val="20"/>
                    </w:rPr>
                    <w:t xml:space="preserve"> nie zaszły zmiany koncepcyjne w </w:t>
                  </w:r>
                  <w:r>
                    <w:rPr>
                      <w:sz w:val="20"/>
                      <w:szCs w:val="20"/>
                    </w:rPr>
                    <w:t>ich</w:t>
                  </w:r>
                  <w:r w:rsidRPr="00F43B7D">
                    <w:rPr>
                      <w:sz w:val="20"/>
                      <w:szCs w:val="20"/>
                    </w:rPr>
                    <w:t xml:space="preserve"> zakresie</w:t>
                  </w:r>
                </w:p>
                <w:p w:rsidR="00A31D45" w:rsidRDefault="00A31D45" w:rsidP="00A31D45">
                  <w:pPr>
                    <w:pStyle w:val="Default"/>
                    <w:rPr>
                      <w:color w:val="auto"/>
                    </w:rPr>
                  </w:pPr>
                </w:p>
              </w:tc>
            </w:tr>
          </w:tbl>
          <w:p w:rsidR="004D135D" w:rsidRDefault="004D135D" w:rsidP="00E30008">
            <w:pPr>
              <w:rPr>
                <w:bCs/>
                <w:i/>
                <w:sz w:val="18"/>
                <w:szCs w:val="20"/>
              </w:rPr>
            </w:pPr>
          </w:p>
        </w:tc>
      </w:tr>
      <w:tr w:rsidR="00920CE8" w:rsidRPr="002450C4" w:rsidTr="007458F9">
        <w:tc>
          <w:tcPr>
            <w:tcW w:w="381" w:type="dxa"/>
          </w:tcPr>
          <w:p w:rsidR="00920CE8" w:rsidRPr="00F43B7D" w:rsidRDefault="00920CE8" w:rsidP="007A0A3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4" w:type="dxa"/>
          </w:tcPr>
          <w:p w:rsidR="00920CE8" w:rsidRPr="002450C4" w:rsidRDefault="00920CE8" w:rsidP="0092099A">
            <w:pPr>
              <w:rPr>
                <w:sz w:val="18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>Postęp w realizacji strategicznych celów Państwa</w:t>
            </w:r>
          </w:p>
        </w:tc>
        <w:tc>
          <w:tcPr>
            <w:tcW w:w="7654" w:type="dxa"/>
          </w:tcPr>
          <w:tbl>
            <w:tblPr>
              <w:tblStyle w:val="Tabela-Siatka"/>
              <w:tblW w:w="7400" w:type="dxa"/>
              <w:tblLayout w:type="fixed"/>
              <w:tblLook w:val="04A0" w:firstRow="1" w:lastRow="0" w:firstColumn="1" w:lastColumn="0" w:noHBand="0" w:noVBand="1"/>
              <w:tblCaption w:val="Wskaźniki efektywności projektu (KPI)."/>
            </w:tblPr>
            <w:tblGrid>
              <w:gridCol w:w="2235"/>
              <w:gridCol w:w="1054"/>
              <w:gridCol w:w="1417"/>
              <w:gridCol w:w="2694"/>
            </w:tblGrid>
            <w:tr w:rsidR="000126C4" w:rsidRPr="002B50C0" w:rsidTr="00107E18">
              <w:trPr>
                <w:trHeight w:val="907"/>
                <w:tblHeader/>
              </w:trPr>
              <w:tc>
                <w:tcPr>
                  <w:tcW w:w="2235" w:type="dxa"/>
                  <w:shd w:val="clear" w:color="auto" w:fill="D0CECE" w:themeFill="background2" w:themeFillShade="E6"/>
                  <w:vAlign w:val="center"/>
                </w:tcPr>
                <w:p w:rsidR="000126C4" w:rsidRPr="00141A92" w:rsidRDefault="000126C4" w:rsidP="00DD489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1054" w:type="dxa"/>
                  <w:shd w:val="clear" w:color="auto" w:fill="D0CECE" w:themeFill="background2" w:themeFillShade="E6"/>
                  <w:vAlign w:val="center"/>
                </w:tcPr>
                <w:p w:rsidR="000126C4" w:rsidRPr="00141A92" w:rsidRDefault="000126C4" w:rsidP="00DD489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Jedn. miary</w:t>
                  </w:r>
                </w:p>
              </w:tc>
              <w:tc>
                <w:tcPr>
                  <w:tcW w:w="1417" w:type="dxa"/>
                  <w:shd w:val="clear" w:color="auto" w:fill="D0CECE" w:themeFill="background2" w:themeFillShade="E6"/>
                  <w:vAlign w:val="center"/>
                </w:tcPr>
                <w:p w:rsidR="000126C4" w:rsidRDefault="000126C4" w:rsidP="00DD489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Wartość </w:t>
                  </w:r>
                </w:p>
                <w:p w:rsidR="000126C4" w:rsidRPr="00141A92" w:rsidRDefault="000126C4" w:rsidP="00DD489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docelowa</w:t>
                  </w:r>
                </w:p>
              </w:tc>
              <w:tc>
                <w:tcPr>
                  <w:tcW w:w="2694" w:type="dxa"/>
                  <w:shd w:val="clear" w:color="auto" w:fill="D0CECE" w:themeFill="background2" w:themeFillShade="E6"/>
                  <w:vAlign w:val="center"/>
                </w:tcPr>
                <w:p w:rsidR="000126C4" w:rsidRPr="00141A92" w:rsidRDefault="000126C4" w:rsidP="00DD4892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Wartość osiągnięta od początku realizacji projektu (narastająco)</w:t>
                  </w:r>
                </w:p>
              </w:tc>
            </w:tr>
            <w:tr w:rsidR="000126C4" w:rsidRPr="002B50C0" w:rsidTr="00107E18">
              <w:tc>
                <w:tcPr>
                  <w:tcW w:w="2235" w:type="dxa"/>
                </w:tcPr>
                <w:p w:rsidR="000126C4" w:rsidRPr="00F43B7D" w:rsidRDefault="000126C4" w:rsidP="00DD4892">
                  <w:pPr>
                    <w:pStyle w:val="Tekstpodstawowy2"/>
                    <w:spacing w:after="0" w:line="259" w:lineRule="auto"/>
                    <w:ind w:left="0"/>
                    <w:rPr>
                      <w:rFonts w:eastAsiaTheme="minorHAnsi" w:cs="Arial"/>
                      <w:sz w:val="20"/>
                      <w:szCs w:val="20"/>
                      <w:lang w:val="pl-PL"/>
                    </w:rPr>
                  </w:pPr>
                  <w:r w:rsidRPr="00F43B7D">
                    <w:rPr>
                      <w:rFonts w:eastAsiaTheme="minorHAnsi" w:cs="Arial"/>
                      <w:sz w:val="20"/>
                      <w:szCs w:val="20"/>
                      <w:lang w:val="pl-PL"/>
                    </w:rPr>
                    <w:t>1. Liczba załatwionych spraw poprzez udostępnioną on-</w:t>
                  </w:r>
                  <w:proofErr w:type="spellStart"/>
                  <w:r w:rsidRPr="00F43B7D">
                    <w:rPr>
                      <w:rFonts w:eastAsiaTheme="minorHAnsi" w:cs="Arial"/>
                      <w:sz w:val="20"/>
                      <w:szCs w:val="20"/>
                      <w:lang w:val="pl-PL"/>
                    </w:rPr>
                    <w:t>line</w:t>
                  </w:r>
                  <w:proofErr w:type="spellEnd"/>
                  <w:r w:rsidRPr="00F43B7D">
                    <w:rPr>
                      <w:rFonts w:eastAsiaTheme="minorHAnsi" w:cs="Arial"/>
                      <w:sz w:val="20"/>
                      <w:szCs w:val="20"/>
                      <w:lang w:val="pl-PL"/>
                    </w:rPr>
                    <w:t xml:space="preserve"> usługę publiczną</w:t>
                  </w:r>
                </w:p>
                <w:p w:rsidR="000126C4" w:rsidRPr="00F43B7D" w:rsidRDefault="000126C4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54" w:type="dxa"/>
                </w:tcPr>
                <w:p w:rsidR="000126C4" w:rsidRPr="00F43B7D" w:rsidRDefault="000126C4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szt.</w:t>
                  </w:r>
                </w:p>
              </w:tc>
              <w:tc>
                <w:tcPr>
                  <w:tcW w:w="1417" w:type="dxa"/>
                </w:tcPr>
                <w:p w:rsidR="000126C4" w:rsidRPr="00F43B7D" w:rsidRDefault="000126C4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11 000</w:t>
                  </w:r>
                </w:p>
              </w:tc>
              <w:tc>
                <w:tcPr>
                  <w:tcW w:w="2694" w:type="dxa"/>
                </w:tcPr>
                <w:p w:rsidR="000126C4" w:rsidRPr="00F43B7D" w:rsidRDefault="00975EB8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3200</w:t>
                  </w:r>
                </w:p>
              </w:tc>
            </w:tr>
            <w:tr w:rsidR="000126C4" w:rsidRPr="002B50C0" w:rsidTr="00107E18">
              <w:tc>
                <w:tcPr>
                  <w:tcW w:w="2235" w:type="dxa"/>
                </w:tcPr>
                <w:p w:rsidR="000126C4" w:rsidRPr="00F43B7D" w:rsidRDefault="000126C4" w:rsidP="00DD4892">
                  <w:pPr>
                    <w:pStyle w:val="Tekstpodstawowy2"/>
                    <w:spacing w:after="0" w:line="259" w:lineRule="auto"/>
                    <w:ind w:left="0"/>
                    <w:rPr>
                      <w:rFonts w:eastAsiaTheme="minorHAnsi" w:cs="Arial"/>
                      <w:sz w:val="20"/>
                      <w:szCs w:val="20"/>
                      <w:lang w:val="pl-PL"/>
                    </w:rPr>
                  </w:pPr>
                  <w:r w:rsidRPr="00F43B7D">
                    <w:rPr>
                      <w:rFonts w:eastAsiaTheme="minorHAnsi" w:cs="Arial"/>
                      <w:sz w:val="20"/>
                      <w:szCs w:val="20"/>
                      <w:lang w:val="pl-PL"/>
                    </w:rPr>
                    <w:t>2. Liczba podmiotów publicznych odbierających e-faktury od dostawców</w:t>
                  </w:r>
                </w:p>
              </w:tc>
              <w:tc>
                <w:tcPr>
                  <w:tcW w:w="1054" w:type="dxa"/>
                </w:tcPr>
                <w:p w:rsidR="000126C4" w:rsidRPr="00F43B7D" w:rsidRDefault="000126C4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szt.</w:t>
                  </w:r>
                </w:p>
              </w:tc>
              <w:tc>
                <w:tcPr>
                  <w:tcW w:w="1417" w:type="dxa"/>
                </w:tcPr>
                <w:p w:rsidR="000126C4" w:rsidRPr="00F43B7D" w:rsidRDefault="000126C4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2694" w:type="dxa"/>
                </w:tcPr>
                <w:p w:rsidR="000126C4" w:rsidRPr="00F43B7D" w:rsidRDefault="00E61590" w:rsidP="0003218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13</w:t>
                  </w:r>
                  <w:r w:rsidR="000126C4" w:rsidRPr="00F43B7D">
                    <w:rPr>
                      <w:rFonts w:ascii="Arial" w:hAnsi="Arial" w:cs="Arial"/>
                      <w:sz w:val="20"/>
                      <w:szCs w:val="20"/>
                    </w:rPr>
                    <w:t>50</w:t>
                  </w:r>
                </w:p>
              </w:tc>
            </w:tr>
            <w:tr w:rsidR="000126C4" w:rsidRPr="002B50C0" w:rsidTr="00107E18">
              <w:tc>
                <w:tcPr>
                  <w:tcW w:w="2235" w:type="dxa"/>
                </w:tcPr>
                <w:p w:rsidR="000126C4" w:rsidRPr="00F43B7D" w:rsidRDefault="000126C4" w:rsidP="00DD4892">
                  <w:pPr>
                    <w:pStyle w:val="Tekstpodstawowy2"/>
                    <w:spacing w:after="0" w:line="259" w:lineRule="auto"/>
                    <w:ind w:left="0"/>
                    <w:rPr>
                      <w:rFonts w:eastAsiaTheme="minorHAnsi" w:cs="Arial"/>
                      <w:sz w:val="20"/>
                      <w:szCs w:val="20"/>
                      <w:lang w:val="pl-PL"/>
                    </w:rPr>
                  </w:pPr>
                  <w:r w:rsidRPr="00F43B7D">
                    <w:rPr>
                      <w:rFonts w:eastAsiaTheme="minorHAnsi" w:cs="Arial"/>
                      <w:sz w:val="20"/>
                      <w:szCs w:val="20"/>
                      <w:lang w:val="pl-PL"/>
                    </w:rPr>
                    <w:t>3. Liczba usług publicznych udostępnionych on-</w:t>
                  </w:r>
                  <w:proofErr w:type="spellStart"/>
                  <w:r w:rsidRPr="00F43B7D">
                    <w:rPr>
                      <w:rFonts w:eastAsiaTheme="minorHAnsi" w:cs="Arial"/>
                      <w:sz w:val="20"/>
                      <w:szCs w:val="20"/>
                      <w:lang w:val="pl-PL"/>
                    </w:rPr>
                    <w:t>line</w:t>
                  </w:r>
                  <w:proofErr w:type="spellEnd"/>
                  <w:r w:rsidRPr="00F43B7D">
                    <w:rPr>
                      <w:rFonts w:eastAsiaTheme="minorHAnsi" w:cs="Arial"/>
                      <w:sz w:val="20"/>
                      <w:szCs w:val="20"/>
                      <w:lang w:val="pl-PL"/>
                    </w:rPr>
                    <w:t xml:space="preserve"> o stopniu dojrzałości co najmniej 4 – transakcja</w:t>
                  </w:r>
                </w:p>
              </w:tc>
              <w:tc>
                <w:tcPr>
                  <w:tcW w:w="1054" w:type="dxa"/>
                </w:tcPr>
                <w:p w:rsidR="000126C4" w:rsidRPr="00F43B7D" w:rsidRDefault="000126C4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szt.</w:t>
                  </w:r>
                </w:p>
              </w:tc>
              <w:tc>
                <w:tcPr>
                  <w:tcW w:w="1417" w:type="dxa"/>
                </w:tcPr>
                <w:p w:rsidR="000126C4" w:rsidRPr="00F43B7D" w:rsidRDefault="000126C4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694" w:type="dxa"/>
                </w:tcPr>
                <w:p w:rsidR="000126C4" w:rsidRPr="00F43B7D" w:rsidRDefault="000126C4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c>
            </w:tr>
            <w:tr w:rsidR="000126C4" w:rsidRPr="002B50C0" w:rsidTr="00107E18">
              <w:trPr>
                <w:trHeight w:val="392"/>
              </w:trPr>
              <w:tc>
                <w:tcPr>
                  <w:tcW w:w="2235" w:type="dxa"/>
                </w:tcPr>
                <w:p w:rsidR="000126C4" w:rsidRPr="00F43B7D" w:rsidRDefault="000126C4" w:rsidP="00DD4892">
                  <w:pPr>
                    <w:pStyle w:val="Tekstpodstawowy2"/>
                    <w:spacing w:after="0" w:line="259" w:lineRule="auto"/>
                    <w:ind w:left="0"/>
                    <w:rPr>
                      <w:rFonts w:eastAsiaTheme="minorHAnsi" w:cs="Arial"/>
                      <w:sz w:val="20"/>
                      <w:szCs w:val="20"/>
                      <w:lang w:val="pl-PL"/>
                    </w:rPr>
                  </w:pPr>
                  <w:r w:rsidRPr="00F43B7D">
                    <w:rPr>
                      <w:rFonts w:eastAsiaTheme="minorHAnsi" w:cs="Arial"/>
                      <w:sz w:val="20"/>
                      <w:szCs w:val="20"/>
                      <w:lang w:val="pl-PL"/>
                    </w:rPr>
                    <w:t>4. Liczba udostępnionych usług wewnątrz-administracyjnych</w:t>
                  </w:r>
                </w:p>
              </w:tc>
              <w:tc>
                <w:tcPr>
                  <w:tcW w:w="1054" w:type="dxa"/>
                </w:tcPr>
                <w:p w:rsidR="000126C4" w:rsidRPr="00F43B7D" w:rsidRDefault="000126C4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szt.</w:t>
                  </w:r>
                </w:p>
              </w:tc>
              <w:tc>
                <w:tcPr>
                  <w:tcW w:w="1417" w:type="dxa"/>
                </w:tcPr>
                <w:p w:rsidR="000126C4" w:rsidRPr="00F43B7D" w:rsidRDefault="000126C4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694" w:type="dxa"/>
                </w:tcPr>
                <w:p w:rsidR="000126C4" w:rsidRPr="00F43B7D" w:rsidRDefault="000126C4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 xml:space="preserve">1 </w:t>
                  </w:r>
                </w:p>
              </w:tc>
            </w:tr>
            <w:tr w:rsidR="001D630D" w:rsidRPr="002B50C0" w:rsidTr="001D630D">
              <w:trPr>
                <w:trHeight w:val="392"/>
              </w:trPr>
              <w:tc>
                <w:tcPr>
                  <w:tcW w:w="7400" w:type="dxa"/>
                  <w:gridSpan w:val="4"/>
                </w:tcPr>
                <w:p w:rsidR="001D630D" w:rsidRPr="001D630D" w:rsidRDefault="001D630D" w:rsidP="001D630D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D630D">
                    <w:rPr>
                      <w:rFonts w:ascii="Arial" w:hAnsi="Arial" w:cs="Arial"/>
                      <w:sz w:val="20"/>
                      <w:szCs w:val="20"/>
                    </w:rPr>
                    <w:t xml:space="preserve">Strategicznym celem projektu było uruchomienie i wykorzystanie nowych metod gospodarowania oraz nowoczesnych narzędzi ich wsparcia na rzecz rozwoju polskiej administracji i gospodarki. Cel został osiągnięty poprzez uproszczenia procesów obsługi dostaw publicznych i ich elektronizację oraz ułatwienia w realizacji tych procesów dla ich wykonawców. Realizacja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celów </w:t>
                  </w:r>
                  <w:r w:rsidRPr="001D630D">
                    <w:rPr>
                      <w:rFonts w:ascii="Arial" w:hAnsi="Arial" w:cs="Arial"/>
                      <w:sz w:val="20"/>
                      <w:szCs w:val="20"/>
                    </w:rPr>
                    <w:t>projektu przyczyni się do osiągnięcia postulowanego stanu "</w:t>
                  </w:r>
                  <w:proofErr w:type="spellStart"/>
                  <w:r w:rsidRPr="001D630D">
                    <w:rPr>
                      <w:rFonts w:ascii="Arial" w:hAnsi="Arial" w:cs="Arial"/>
                      <w:sz w:val="20"/>
                      <w:szCs w:val="20"/>
                    </w:rPr>
                    <w:t>bezpapierowej</w:t>
                  </w:r>
                  <w:proofErr w:type="spellEnd"/>
                  <w:r w:rsidRPr="001D630D">
                    <w:rPr>
                      <w:rFonts w:ascii="Arial" w:hAnsi="Arial" w:cs="Arial"/>
                      <w:sz w:val="20"/>
                      <w:szCs w:val="20"/>
                    </w:rPr>
                    <w:t xml:space="preserve"> oraz bezgotówkowej" administracji publicznej oraz gospodarki w obszarze przedsiębiorstw.</w:t>
                  </w:r>
                </w:p>
                <w:p w:rsidR="001D630D" w:rsidRPr="001D630D" w:rsidRDefault="001D630D" w:rsidP="001D630D">
                  <w:pPr>
                    <w:pStyle w:val="Default"/>
                    <w:jc w:val="both"/>
                    <w:rPr>
                      <w:color w:val="auto"/>
                      <w:sz w:val="20"/>
                      <w:szCs w:val="20"/>
                    </w:rPr>
                  </w:pPr>
                  <w:r w:rsidRPr="001D630D">
                    <w:rPr>
                      <w:color w:val="auto"/>
                      <w:sz w:val="20"/>
                      <w:szCs w:val="20"/>
                    </w:rPr>
                    <w:t xml:space="preserve">Pomiary realizacji celów będą realizowane poprzez raporty generowane z PEF. </w:t>
                  </w:r>
                </w:p>
                <w:p w:rsidR="001D630D" w:rsidRPr="00F43B7D" w:rsidRDefault="001D630D" w:rsidP="001D630D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1D630D">
                    <w:rPr>
                      <w:rFonts w:ascii="Arial" w:hAnsi="Arial" w:cs="Arial"/>
                      <w:sz w:val="20"/>
                      <w:szCs w:val="20"/>
                    </w:rPr>
                    <w:t>Uzyskane informacje będą publikowane na Portalu PEF.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920CE8" w:rsidRPr="002450C4" w:rsidRDefault="00920CE8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7A0A3D" w:rsidRPr="002450C4" w:rsidTr="007458F9">
        <w:tc>
          <w:tcPr>
            <w:tcW w:w="381" w:type="dxa"/>
          </w:tcPr>
          <w:p w:rsidR="007A0A3D" w:rsidRPr="00F43B7D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4" w:type="dxa"/>
          </w:tcPr>
          <w:p w:rsidR="007A0A3D" w:rsidRPr="002450C4" w:rsidRDefault="005D4188" w:rsidP="00A6601B">
            <w:pPr>
              <w:rPr>
                <w:sz w:val="18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>Ryzyka i problemy</w:t>
            </w:r>
          </w:p>
        </w:tc>
        <w:tc>
          <w:tcPr>
            <w:tcW w:w="7654" w:type="dxa"/>
          </w:tcPr>
          <w:tbl>
            <w:tblPr>
              <w:tblStyle w:val="Tabela-Siatka"/>
              <w:tblW w:w="7400" w:type="dxa"/>
              <w:tblLayout w:type="fixed"/>
              <w:tblLook w:val="04A0" w:firstRow="1" w:lastRow="0" w:firstColumn="1" w:lastColumn="0" w:noHBand="0" w:noVBand="1"/>
              <w:tblCaption w:val="Ryzyka wpływające na realizację projektu."/>
            </w:tblPr>
            <w:tblGrid>
              <w:gridCol w:w="2875"/>
              <w:gridCol w:w="4525"/>
            </w:tblGrid>
            <w:tr w:rsidR="000126C4" w:rsidRPr="002B50C0" w:rsidTr="00107E18">
              <w:trPr>
                <w:tblHeader/>
              </w:trPr>
              <w:tc>
                <w:tcPr>
                  <w:tcW w:w="2875" w:type="dxa"/>
                  <w:shd w:val="clear" w:color="auto" w:fill="D0CECE" w:themeFill="background2" w:themeFillShade="E6"/>
                  <w:vAlign w:val="center"/>
                </w:tcPr>
                <w:p w:rsidR="000126C4" w:rsidRPr="00141A92" w:rsidRDefault="000126C4" w:rsidP="00DD4892">
                  <w:pPr>
                    <w:spacing w:after="12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 ryzyka</w:t>
                  </w:r>
                </w:p>
              </w:tc>
              <w:tc>
                <w:tcPr>
                  <w:tcW w:w="4525" w:type="dxa"/>
                  <w:shd w:val="clear" w:color="auto" w:fill="D0CECE" w:themeFill="background2" w:themeFillShade="E6"/>
                  <w:vAlign w:val="center"/>
                </w:tcPr>
                <w:p w:rsidR="000126C4" w:rsidRPr="002D7ADA" w:rsidRDefault="000126C4" w:rsidP="00DD4892">
                  <w:pPr>
                    <w:spacing w:after="12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2D7ADA">
                    <w:rPr>
                      <w:rFonts w:ascii="Arial" w:hAnsi="Arial" w:cs="Arial"/>
                      <w:b/>
                      <w:sz w:val="20"/>
                      <w:szCs w:val="20"/>
                    </w:rPr>
                    <w:t>Sposób zarzadzania ryzykiem</w:t>
                  </w:r>
                </w:p>
              </w:tc>
            </w:tr>
            <w:tr w:rsidR="000126C4" w:rsidRPr="002B50C0" w:rsidTr="00107E18">
              <w:tc>
                <w:tcPr>
                  <w:tcW w:w="2875" w:type="dxa"/>
                </w:tcPr>
                <w:p w:rsidR="000126C4" w:rsidRPr="00F43B7D" w:rsidRDefault="000126C4" w:rsidP="00DD489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Opóźnienie dostarczenia usług przez dostawców</w:t>
                  </w:r>
                </w:p>
              </w:tc>
              <w:tc>
                <w:tcPr>
                  <w:tcW w:w="4525" w:type="dxa"/>
                </w:tcPr>
                <w:p w:rsidR="000126C4" w:rsidRPr="00F43B7D" w:rsidRDefault="000126C4" w:rsidP="00107E1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Mitygacja</w:t>
                  </w:r>
                  <w:proofErr w:type="spellEnd"/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 xml:space="preserve"> ryzyka polegała na wyborze jednocześnie dwóch dostawców usług – wyskalowanych w proporcji 50/50. Do uzyskania wdrożenia wystarczy</w:t>
                  </w:r>
                  <w:r w:rsidR="009413AE" w:rsidRPr="00F43B7D">
                    <w:rPr>
                      <w:rFonts w:ascii="Arial" w:hAnsi="Arial" w:cs="Arial"/>
                      <w:sz w:val="20"/>
                      <w:szCs w:val="20"/>
                    </w:rPr>
                    <w:t>ło</w:t>
                  </w: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r w:rsidR="009413AE" w:rsidRPr="00F43B7D"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 xml:space="preserve">by jeden z usługodawców terminowo rozpoczął świadczenie usług. </w:t>
                  </w:r>
                </w:p>
                <w:p w:rsidR="00032182" w:rsidRPr="00F43B7D" w:rsidRDefault="00032182" w:rsidP="00107E1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Na etapie wyboru wykonawców PEF przeprowadzono szczegółowy dialog w celu określenia jak najbardziej dokładnych wymagań funkcjonalnych i technicznych. Wielokrotne spotkania z kilkoma potencjalnymi  wykonawcami wydłużyły postępowanie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 wybór wykonawcy. </w:t>
                  </w:r>
                </w:p>
                <w:p w:rsidR="00032182" w:rsidRDefault="00032182" w:rsidP="00032182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Przedłużająca się procedura przetargowa</w:t>
                  </w:r>
                  <w:r>
                    <w:rPr>
                      <w:sz w:val="20"/>
                      <w:szCs w:val="20"/>
                    </w:rPr>
                    <w:t xml:space="preserve"> spowodował</w:t>
                  </w:r>
                  <w:r>
                    <w:rPr>
                      <w:sz w:val="20"/>
                      <w:szCs w:val="20"/>
                    </w:rPr>
                    <w:t>a</w:t>
                  </w:r>
                  <w:r>
                    <w:rPr>
                      <w:sz w:val="20"/>
                      <w:szCs w:val="20"/>
                    </w:rPr>
                    <w:t xml:space="preserve"> przesuniecie </w:t>
                  </w:r>
                  <w:r>
                    <w:rPr>
                      <w:sz w:val="20"/>
                      <w:szCs w:val="20"/>
                    </w:rPr>
                    <w:t xml:space="preserve">niektórych </w:t>
                  </w:r>
                  <w:r>
                    <w:rPr>
                      <w:sz w:val="20"/>
                      <w:szCs w:val="20"/>
                    </w:rPr>
                    <w:t xml:space="preserve">terminów osiągnięcia kamieni milowych </w:t>
                  </w:r>
                  <w:r>
                    <w:rPr>
                      <w:sz w:val="20"/>
                      <w:szCs w:val="20"/>
                    </w:rPr>
                    <w:t>jednakże przesunięcie nie miało wpływu na termin zakończenia projektu.</w:t>
                  </w:r>
                </w:p>
                <w:p w:rsidR="000126C4" w:rsidRPr="00F43B7D" w:rsidRDefault="000126C4" w:rsidP="00107E1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0126C4" w:rsidRPr="00F43B7D" w:rsidRDefault="000126C4" w:rsidP="00107E1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 xml:space="preserve">Przygotowanie do świadczenia usług zostało podzielone na 5 etapów – trwających w sumie 9 miesięcy.  Postępy prac na poziomie harmonogramu szczegółowego </w:t>
                  </w:r>
                  <w:r w:rsidR="009413AE" w:rsidRPr="00F43B7D">
                    <w:rPr>
                      <w:rFonts w:ascii="Arial" w:hAnsi="Arial" w:cs="Arial"/>
                      <w:sz w:val="20"/>
                      <w:szCs w:val="20"/>
                    </w:rPr>
                    <w:t>były</w:t>
                  </w: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 xml:space="preserve"> na bieżąco monitorowane. </w:t>
                  </w:r>
                </w:p>
                <w:p w:rsidR="000126C4" w:rsidRPr="00F43B7D" w:rsidRDefault="000126C4" w:rsidP="00107E1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Wytworzono unikatowy system pracy na linii Zamawiający-Dostawca – który polega</w:t>
                  </w:r>
                  <w:r w:rsidR="009413AE" w:rsidRPr="00F43B7D">
                    <w:rPr>
                      <w:rFonts w:ascii="Arial" w:hAnsi="Arial" w:cs="Arial"/>
                      <w:sz w:val="20"/>
                      <w:szCs w:val="20"/>
                    </w:rPr>
                    <w:t>ł</w:t>
                  </w: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 xml:space="preserve"> na głębokim i bieżącym zaangażowaniu Zamawiającego w prace z dostawcami. Niezbędne decyzje </w:t>
                  </w:r>
                  <w:r w:rsidR="009413AE" w:rsidRPr="00F43B7D">
                    <w:rPr>
                      <w:rFonts w:ascii="Arial" w:hAnsi="Arial" w:cs="Arial"/>
                      <w:sz w:val="20"/>
                      <w:szCs w:val="20"/>
                    </w:rPr>
                    <w:t>były</w:t>
                  </w: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 xml:space="preserve"> podejmowane przez Zamawiającego na bieżąco (</w:t>
                  </w:r>
                  <w:r w:rsidR="009413AE" w:rsidRPr="00F43B7D">
                    <w:rPr>
                      <w:rFonts w:ascii="Arial" w:hAnsi="Arial" w:cs="Arial"/>
                      <w:sz w:val="20"/>
                      <w:szCs w:val="20"/>
                    </w:rPr>
                    <w:t xml:space="preserve">cykliczne spotkania statusowe, </w:t>
                  </w: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 xml:space="preserve">telekonferencje ad hoc). </w:t>
                  </w:r>
                  <w:r w:rsidR="009413AE" w:rsidRPr="00F43B7D">
                    <w:rPr>
                      <w:rFonts w:ascii="Arial" w:hAnsi="Arial" w:cs="Arial"/>
                      <w:sz w:val="20"/>
                      <w:szCs w:val="20"/>
                    </w:rPr>
                    <w:t>W</w:t>
                  </w: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 xml:space="preserve"> sposób ciągły udzielane </w:t>
                  </w:r>
                  <w:r w:rsidR="009413AE" w:rsidRPr="00F43B7D">
                    <w:rPr>
                      <w:rFonts w:ascii="Arial" w:hAnsi="Arial" w:cs="Arial"/>
                      <w:sz w:val="20"/>
                      <w:szCs w:val="20"/>
                    </w:rPr>
                    <w:t xml:space="preserve">były </w:t>
                  </w: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dostawcom odpowiedzi na  zgłaszane potrzeby informacyjne i interpretacyjne. Przyjęto wewnętrzne zalecenie udzielenia odpowiedzi Dostawcom w trybie do 24h.</w:t>
                  </w:r>
                </w:p>
                <w:p w:rsidR="000126C4" w:rsidRPr="00F43B7D" w:rsidRDefault="00975EB8" w:rsidP="00107E18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43B7D">
                    <w:rPr>
                      <w:rFonts w:ascii="Arial" w:hAnsi="Arial" w:cs="Arial"/>
                      <w:sz w:val="20"/>
                      <w:szCs w:val="20"/>
                    </w:rPr>
                    <w:t>Za wyjątkiem niewielkiego opóźnienia w wykonaniu jednego z etapów przez jednego wykonawcę, zaplanowane</w:t>
                  </w:r>
                  <w:r w:rsidR="000126C4" w:rsidRPr="00F43B7D">
                    <w:rPr>
                      <w:rFonts w:ascii="Arial" w:hAnsi="Arial" w:cs="Arial"/>
                      <w:sz w:val="20"/>
                      <w:szCs w:val="20"/>
                    </w:rPr>
                    <w:t xml:space="preserve"> prace zostały wykonane i odebrane w terminie.</w:t>
                  </w:r>
                </w:p>
              </w:tc>
            </w:tr>
          </w:tbl>
          <w:p w:rsidR="007A0A3D" w:rsidRPr="002450C4" w:rsidRDefault="007A0A3D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813FEF" w:rsidRPr="002450C4" w:rsidTr="007458F9">
        <w:tc>
          <w:tcPr>
            <w:tcW w:w="381" w:type="dxa"/>
          </w:tcPr>
          <w:p w:rsidR="00813FEF" w:rsidRPr="00F43B7D" w:rsidRDefault="00813FEF" w:rsidP="0058262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4" w:type="dxa"/>
          </w:tcPr>
          <w:p w:rsidR="00813FEF" w:rsidRDefault="009D3D41" w:rsidP="009D3D41">
            <w:pPr>
              <w:rPr>
                <w:sz w:val="18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>U</w:t>
            </w:r>
            <w:r w:rsidR="00813FEF" w:rsidRPr="00F43B7D">
              <w:rPr>
                <w:rFonts w:ascii="Arial" w:hAnsi="Arial" w:cs="Arial"/>
                <w:sz w:val="20"/>
                <w:szCs w:val="20"/>
              </w:rPr>
              <w:t>zyskane korzyści</w:t>
            </w:r>
            <w:r w:rsidR="00813FEF">
              <w:rPr>
                <w:sz w:val="18"/>
                <w:szCs w:val="20"/>
              </w:rPr>
              <w:t xml:space="preserve"> </w:t>
            </w:r>
          </w:p>
        </w:tc>
        <w:tc>
          <w:tcPr>
            <w:tcW w:w="7654" w:type="dxa"/>
          </w:tcPr>
          <w:p w:rsidR="00DA663A" w:rsidRPr="00F43B7D" w:rsidRDefault="001C4CA9" w:rsidP="00515C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>Główne korzyści z wykorzystania usług uruchomionych</w:t>
            </w:r>
            <w:r w:rsidR="00515CED" w:rsidRPr="00F43B7D">
              <w:rPr>
                <w:rFonts w:ascii="Arial" w:hAnsi="Arial" w:cs="Arial"/>
                <w:sz w:val="20"/>
                <w:szCs w:val="20"/>
              </w:rPr>
              <w:t xml:space="preserve"> w ramach projektu</w:t>
            </w:r>
            <w:r w:rsidR="00DA663A" w:rsidRPr="00F43B7D">
              <w:rPr>
                <w:rFonts w:ascii="Arial" w:hAnsi="Arial" w:cs="Arial"/>
                <w:sz w:val="20"/>
                <w:szCs w:val="20"/>
              </w:rPr>
              <w:t xml:space="preserve"> to:</w:t>
            </w:r>
          </w:p>
          <w:p w:rsidR="00DA663A" w:rsidRPr="00F43B7D" w:rsidRDefault="00DA663A" w:rsidP="00DA663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>automatyzacja procesu rozliczania kontraktów w ramach zamówień publicznych,</w:t>
            </w:r>
          </w:p>
          <w:p w:rsidR="00DA663A" w:rsidRPr="00F43B7D" w:rsidRDefault="00037CC7" w:rsidP="00DA663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>ograniczenie</w:t>
            </w:r>
            <w:r w:rsidR="00DA663A" w:rsidRPr="00F43B7D">
              <w:rPr>
                <w:rFonts w:ascii="Arial" w:hAnsi="Arial" w:cs="Arial"/>
                <w:sz w:val="20"/>
                <w:szCs w:val="20"/>
              </w:rPr>
              <w:t xml:space="preserve"> kosztów związanych z przygotowywaniem i przesyłaniem dokumentów,</w:t>
            </w:r>
          </w:p>
          <w:p w:rsidR="00DA663A" w:rsidRPr="00F43B7D" w:rsidRDefault="00037CC7" w:rsidP="00DA663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>redukcja wykorzystania</w:t>
            </w:r>
            <w:r w:rsidR="00DA663A" w:rsidRPr="00F43B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3B7D">
              <w:rPr>
                <w:rFonts w:ascii="Arial" w:hAnsi="Arial" w:cs="Arial"/>
                <w:sz w:val="20"/>
                <w:szCs w:val="20"/>
              </w:rPr>
              <w:t>papieru</w:t>
            </w:r>
            <w:r w:rsidR="00DA663A" w:rsidRPr="00F43B7D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A663A" w:rsidRPr="00F43B7D" w:rsidRDefault="00DA663A" w:rsidP="00DA663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>zwiększenie bezpieczeństwa obrotu gospodarczego (możliwość wykorzystywania automatycznych kontroli biznesowych na poziomie tworzonych dokumentów).</w:t>
            </w:r>
          </w:p>
          <w:p w:rsidR="00DA663A" w:rsidRPr="00F43B7D" w:rsidRDefault="00DA663A" w:rsidP="00DA663A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A663A" w:rsidRPr="00F43B7D" w:rsidRDefault="00DA663A" w:rsidP="00DA66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>A</w:t>
            </w:r>
            <w:r w:rsidR="001C4CA9" w:rsidRPr="00F43B7D">
              <w:rPr>
                <w:rFonts w:ascii="Arial" w:hAnsi="Arial" w:cs="Arial"/>
                <w:sz w:val="20"/>
                <w:szCs w:val="20"/>
              </w:rPr>
              <w:t>utoma</w:t>
            </w:r>
            <w:r w:rsidRPr="00F43B7D">
              <w:rPr>
                <w:rFonts w:ascii="Arial" w:hAnsi="Arial" w:cs="Arial"/>
                <w:sz w:val="20"/>
                <w:szCs w:val="20"/>
              </w:rPr>
              <w:t>tyzacja</w:t>
            </w:r>
            <w:r w:rsidR="00515CED" w:rsidRPr="00F43B7D">
              <w:rPr>
                <w:rFonts w:ascii="Arial" w:hAnsi="Arial" w:cs="Arial"/>
                <w:sz w:val="20"/>
                <w:szCs w:val="20"/>
              </w:rPr>
              <w:t xml:space="preserve"> procesu rozliczania kontraktów w ramach zamówień publicznych</w:t>
            </w:r>
            <w:r w:rsidR="001C4CA9" w:rsidRPr="00F43B7D">
              <w:rPr>
                <w:rFonts w:ascii="Arial" w:hAnsi="Arial" w:cs="Arial"/>
                <w:sz w:val="20"/>
                <w:szCs w:val="20"/>
              </w:rPr>
              <w:t xml:space="preserve"> pozwala</w:t>
            </w:r>
            <w:r w:rsidR="00515CED" w:rsidRPr="00F43B7D">
              <w:rPr>
                <w:rFonts w:ascii="Arial" w:hAnsi="Arial" w:cs="Arial"/>
                <w:sz w:val="20"/>
                <w:szCs w:val="20"/>
              </w:rPr>
              <w:t xml:space="preserve"> na skrócenie czasu obsługi zamówienia, usprawni</w:t>
            </w:r>
            <w:r w:rsidR="001C4CA9" w:rsidRPr="00F43B7D">
              <w:rPr>
                <w:rFonts w:ascii="Arial" w:hAnsi="Arial" w:cs="Arial"/>
                <w:sz w:val="20"/>
                <w:szCs w:val="20"/>
              </w:rPr>
              <w:t>a</w:t>
            </w:r>
            <w:r w:rsidR="00515CED" w:rsidRPr="00F43B7D">
              <w:rPr>
                <w:rFonts w:ascii="Arial" w:hAnsi="Arial" w:cs="Arial"/>
                <w:sz w:val="20"/>
                <w:szCs w:val="20"/>
              </w:rPr>
              <w:t xml:space="preserve"> proces</w:t>
            </w:r>
            <w:r w:rsidR="00037CC7" w:rsidRPr="00F43B7D">
              <w:rPr>
                <w:rFonts w:ascii="Arial" w:hAnsi="Arial" w:cs="Arial"/>
                <w:sz w:val="20"/>
                <w:szCs w:val="20"/>
              </w:rPr>
              <w:t xml:space="preserve"> jego</w:t>
            </w:r>
            <w:r w:rsidR="00515CED" w:rsidRPr="00F43B7D">
              <w:rPr>
                <w:rFonts w:ascii="Arial" w:hAnsi="Arial" w:cs="Arial"/>
                <w:sz w:val="20"/>
                <w:szCs w:val="20"/>
              </w:rPr>
              <w:t xml:space="preserve"> rozliczania</w:t>
            </w:r>
            <w:r w:rsidR="001C4CA9" w:rsidRPr="00F43B7D">
              <w:rPr>
                <w:rFonts w:ascii="Arial" w:hAnsi="Arial" w:cs="Arial"/>
                <w:sz w:val="20"/>
                <w:szCs w:val="20"/>
              </w:rPr>
              <w:t xml:space="preserve"> oraz ogranicza</w:t>
            </w:r>
            <w:r w:rsidR="00515CED" w:rsidRPr="00F43B7D">
              <w:rPr>
                <w:rFonts w:ascii="Arial" w:hAnsi="Arial" w:cs="Arial"/>
                <w:sz w:val="20"/>
                <w:szCs w:val="20"/>
              </w:rPr>
              <w:t xml:space="preserve"> koszty </w:t>
            </w:r>
            <w:r w:rsidRPr="00F43B7D">
              <w:rPr>
                <w:rFonts w:ascii="Arial" w:hAnsi="Arial" w:cs="Arial"/>
                <w:sz w:val="20"/>
                <w:szCs w:val="20"/>
              </w:rPr>
              <w:t xml:space="preserve">z tym </w:t>
            </w:r>
            <w:r w:rsidR="00515CED" w:rsidRPr="00F43B7D">
              <w:rPr>
                <w:rFonts w:ascii="Arial" w:hAnsi="Arial" w:cs="Arial"/>
                <w:sz w:val="20"/>
                <w:szCs w:val="20"/>
              </w:rPr>
              <w:t>związane</w:t>
            </w:r>
            <w:r w:rsidRPr="00F43B7D">
              <w:rPr>
                <w:rFonts w:ascii="Arial" w:hAnsi="Arial" w:cs="Arial"/>
                <w:sz w:val="20"/>
                <w:szCs w:val="20"/>
              </w:rPr>
              <w:t>.</w:t>
            </w:r>
            <w:r w:rsidR="00515CED" w:rsidRPr="00F43B7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21989" w:rsidRPr="00F43B7D" w:rsidRDefault="00021989" w:rsidP="00DA66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 xml:space="preserve">Czas niezbędny do wysłania dokumentu elektronicznego jest znacznie krótszy </w:t>
            </w:r>
            <w:r w:rsidR="00DA663A" w:rsidRPr="00F43B7D">
              <w:rPr>
                <w:rFonts w:ascii="Arial" w:hAnsi="Arial" w:cs="Arial"/>
                <w:sz w:val="20"/>
                <w:szCs w:val="20"/>
              </w:rPr>
              <w:t>od</w:t>
            </w:r>
            <w:r w:rsidRPr="00F43B7D">
              <w:rPr>
                <w:rFonts w:ascii="Arial" w:hAnsi="Arial" w:cs="Arial"/>
                <w:sz w:val="20"/>
                <w:szCs w:val="20"/>
              </w:rPr>
              <w:t xml:space="preserve"> czasu wysłania dokumentu w formie papierowej. Biorąc pod uwagę ilość dokumentów, które są tworzone przy realizacji zamówienia</w:t>
            </w:r>
            <w:r w:rsidR="00037CC7" w:rsidRPr="00F43B7D">
              <w:rPr>
                <w:rFonts w:ascii="Arial" w:hAnsi="Arial" w:cs="Arial"/>
                <w:sz w:val="20"/>
                <w:szCs w:val="20"/>
              </w:rPr>
              <w:t xml:space="preserve"> (np. potwierdzenia odbioru czy faktury VAT)</w:t>
            </w:r>
            <w:r w:rsidRPr="00F43B7D">
              <w:rPr>
                <w:rFonts w:ascii="Arial" w:hAnsi="Arial" w:cs="Arial"/>
                <w:sz w:val="20"/>
                <w:szCs w:val="20"/>
              </w:rPr>
              <w:t xml:space="preserve">, wykorzystanie usług PEF przekłada się </w:t>
            </w:r>
            <w:r w:rsidR="00037CC7" w:rsidRPr="00F43B7D">
              <w:rPr>
                <w:rFonts w:ascii="Arial" w:hAnsi="Arial" w:cs="Arial"/>
                <w:sz w:val="20"/>
                <w:szCs w:val="20"/>
              </w:rPr>
              <w:t xml:space="preserve">bezpośrednio </w:t>
            </w:r>
            <w:r w:rsidRPr="00F43B7D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="00037CC7" w:rsidRPr="00F43B7D">
              <w:rPr>
                <w:rFonts w:ascii="Arial" w:hAnsi="Arial" w:cs="Arial"/>
                <w:sz w:val="20"/>
                <w:szCs w:val="20"/>
              </w:rPr>
              <w:t xml:space="preserve">powstawanie </w:t>
            </w:r>
            <w:r w:rsidRPr="00F43B7D">
              <w:rPr>
                <w:rFonts w:ascii="Arial" w:hAnsi="Arial" w:cs="Arial"/>
                <w:sz w:val="20"/>
                <w:szCs w:val="20"/>
              </w:rPr>
              <w:t xml:space="preserve">oszczędności zarówno po stronie przedsiębiorców, jak też i administracji. </w:t>
            </w:r>
          </w:p>
          <w:p w:rsidR="00515CED" w:rsidRPr="00F43B7D" w:rsidRDefault="00037CC7" w:rsidP="00515C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>Ponadto s</w:t>
            </w:r>
            <w:r w:rsidR="00DA663A" w:rsidRPr="00F43B7D">
              <w:rPr>
                <w:rFonts w:ascii="Arial" w:hAnsi="Arial" w:cs="Arial"/>
                <w:sz w:val="20"/>
                <w:szCs w:val="20"/>
              </w:rPr>
              <w:t xml:space="preserve">tosowanie </w:t>
            </w:r>
            <w:r w:rsidRPr="00F43B7D">
              <w:rPr>
                <w:rFonts w:ascii="Arial" w:hAnsi="Arial" w:cs="Arial"/>
                <w:sz w:val="20"/>
                <w:szCs w:val="20"/>
              </w:rPr>
              <w:t xml:space="preserve">automatycznych </w:t>
            </w:r>
            <w:r w:rsidR="00DA663A" w:rsidRPr="00F43B7D">
              <w:rPr>
                <w:rFonts w:ascii="Arial" w:hAnsi="Arial" w:cs="Arial"/>
                <w:sz w:val="20"/>
                <w:szCs w:val="20"/>
              </w:rPr>
              <w:t>kontroli biznesowych podnosi bezpieczeństwo obiegu dokumentów księgowych oraz pozwala</w:t>
            </w:r>
            <w:r w:rsidRPr="00F43B7D">
              <w:rPr>
                <w:rFonts w:ascii="Arial" w:hAnsi="Arial" w:cs="Arial"/>
                <w:sz w:val="20"/>
                <w:szCs w:val="20"/>
              </w:rPr>
              <w:t xml:space="preserve"> zamawiającym i wykonawcom</w:t>
            </w:r>
            <w:r w:rsidR="00DA663A" w:rsidRPr="00F43B7D">
              <w:rPr>
                <w:rFonts w:ascii="Arial" w:hAnsi="Arial" w:cs="Arial"/>
                <w:sz w:val="20"/>
                <w:szCs w:val="20"/>
              </w:rPr>
              <w:t xml:space="preserve"> na </w:t>
            </w:r>
            <w:r w:rsidRPr="00F43B7D">
              <w:rPr>
                <w:rFonts w:ascii="Arial" w:hAnsi="Arial" w:cs="Arial"/>
                <w:sz w:val="20"/>
                <w:szCs w:val="20"/>
              </w:rPr>
              <w:t xml:space="preserve">bieżące </w:t>
            </w:r>
            <w:r w:rsidR="00DA663A" w:rsidRPr="00F43B7D">
              <w:rPr>
                <w:rFonts w:ascii="Arial" w:hAnsi="Arial" w:cs="Arial"/>
                <w:sz w:val="20"/>
                <w:szCs w:val="20"/>
              </w:rPr>
              <w:t xml:space="preserve">śledzenie procesu realizacji zamówienia. </w:t>
            </w:r>
            <w:r w:rsidR="00021989" w:rsidRPr="00F43B7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1C4CA9" w:rsidRPr="00F43B7D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037CC7" w:rsidRPr="00F43B7D" w:rsidRDefault="00037CC7" w:rsidP="00515C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21989" w:rsidRPr="00F43B7D" w:rsidRDefault="00021989" w:rsidP="00515C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 xml:space="preserve">Wykorzystanie </w:t>
            </w:r>
            <w:r w:rsidR="00037CC7" w:rsidRPr="00F43B7D">
              <w:rPr>
                <w:rFonts w:ascii="Arial" w:hAnsi="Arial" w:cs="Arial"/>
                <w:sz w:val="20"/>
                <w:szCs w:val="20"/>
              </w:rPr>
              <w:t>udostępnionych e-</w:t>
            </w:r>
            <w:r w:rsidRPr="00F43B7D">
              <w:rPr>
                <w:rFonts w:ascii="Arial" w:hAnsi="Arial" w:cs="Arial"/>
                <w:sz w:val="20"/>
                <w:szCs w:val="20"/>
              </w:rPr>
              <w:t>usług będzie weryfikowane na podstawie rap</w:t>
            </w:r>
            <w:r w:rsidR="00037CC7" w:rsidRPr="00F43B7D">
              <w:rPr>
                <w:rFonts w:ascii="Arial" w:hAnsi="Arial" w:cs="Arial"/>
                <w:sz w:val="20"/>
                <w:szCs w:val="20"/>
              </w:rPr>
              <w:t>ortów systemowych, a wyniki będą publikowane na Portalu PEF.</w:t>
            </w:r>
          </w:p>
          <w:p w:rsidR="00813FEF" w:rsidRPr="00F43B7D" w:rsidRDefault="00813FEF" w:rsidP="00BC12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2254" w:rsidRPr="002450C4" w:rsidTr="007458F9">
        <w:tc>
          <w:tcPr>
            <w:tcW w:w="381" w:type="dxa"/>
          </w:tcPr>
          <w:p w:rsidR="00F82254" w:rsidRPr="00F43B7D" w:rsidRDefault="00F82254" w:rsidP="0058262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4" w:type="dxa"/>
          </w:tcPr>
          <w:p w:rsidR="00F82254" w:rsidRPr="00F43B7D" w:rsidRDefault="00F82254" w:rsidP="00F82254">
            <w:pPr>
              <w:rPr>
                <w:rFonts w:ascii="Arial" w:hAnsi="Arial" w:cs="Arial"/>
                <w:sz w:val="20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>E-usługi i rejestry z jakimi zintegrował się wytworzony system w ramach realizacji projektu</w:t>
            </w:r>
          </w:p>
        </w:tc>
        <w:tc>
          <w:tcPr>
            <w:tcW w:w="7654" w:type="dxa"/>
          </w:tcPr>
          <w:p w:rsidR="00F82254" w:rsidRPr="00F43B7D" w:rsidRDefault="000126C4" w:rsidP="00DB70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>System nie integrował się z innymi rejestrami.</w:t>
            </w:r>
          </w:p>
        </w:tc>
      </w:tr>
      <w:tr w:rsidR="007C54F9" w:rsidRPr="002450C4" w:rsidTr="00A41523">
        <w:trPr>
          <w:trHeight w:val="787"/>
        </w:trPr>
        <w:tc>
          <w:tcPr>
            <w:tcW w:w="381" w:type="dxa"/>
          </w:tcPr>
          <w:p w:rsidR="007C54F9" w:rsidRPr="00F43B7D" w:rsidRDefault="007C54F9" w:rsidP="0058262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4" w:type="dxa"/>
          </w:tcPr>
          <w:p w:rsidR="007C54F9" w:rsidRPr="00F43B7D" w:rsidRDefault="003B7BD6" w:rsidP="007C54F9">
            <w:pPr>
              <w:rPr>
                <w:rFonts w:ascii="Arial" w:hAnsi="Arial" w:cs="Arial"/>
                <w:sz w:val="20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>Zapewnienie utrzymania projektu (w okresie trwałości)</w:t>
            </w:r>
          </w:p>
        </w:tc>
        <w:tc>
          <w:tcPr>
            <w:tcW w:w="7654" w:type="dxa"/>
          </w:tcPr>
          <w:p w:rsidR="007C54F9" w:rsidRPr="00F43B7D" w:rsidRDefault="000126C4" w:rsidP="000126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>Zabezpieczenie środków</w:t>
            </w:r>
            <w:r w:rsidR="007C54F9" w:rsidRPr="00F43B7D">
              <w:rPr>
                <w:rFonts w:ascii="Arial" w:hAnsi="Arial" w:cs="Arial"/>
                <w:sz w:val="20"/>
                <w:szCs w:val="20"/>
              </w:rPr>
              <w:t xml:space="preserve"> na utrzymanie produktów/rezulta</w:t>
            </w:r>
            <w:r w:rsidRPr="00F43B7D">
              <w:rPr>
                <w:rFonts w:ascii="Arial" w:hAnsi="Arial" w:cs="Arial"/>
                <w:sz w:val="20"/>
                <w:szCs w:val="20"/>
              </w:rPr>
              <w:t>tów projektu po jego zakończeniu leży w gestii lidera i partnera projektu.</w:t>
            </w:r>
            <w:r w:rsidR="007C54F9" w:rsidRPr="00F43B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3B7D">
              <w:rPr>
                <w:rFonts w:ascii="Arial" w:hAnsi="Arial" w:cs="Arial"/>
                <w:sz w:val="20"/>
                <w:szCs w:val="20"/>
              </w:rPr>
              <w:t>W 2019 r. środki zostały przyznane z rezerwy celowej, natomiast na rok 2020 zostały złożone karty czynności do uwzględnienia w budżecie.</w:t>
            </w:r>
            <w:r w:rsidR="002958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95880">
              <w:rPr>
                <w:rFonts w:ascii="Arial" w:hAnsi="Arial" w:cs="Arial"/>
                <w:sz w:val="20"/>
                <w:szCs w:val="20"/>
              </w:rPr>
              <w:t>Karty czynności będą</w:t>
            </w:r>
            <w:r w:rsidR="00295880">
              <w:rPr>
                <w:rFonts w:ascii="Arial" w:hAnsi="Arial" w:cs="Arial"/>
                <w:sz w:val="20"/>
                <w:szCs w:val="20"/>
              </w:rPr>
              <w:t xml:space="preserve"> również</w:t>
            </w:r>
            <w:r w:rsidR="00295880">
              <w:rPr>
                <w:rFonts w:ascii="Arial" w:hAnsi="Arial" w:cs="Arial"/>
                <w:sz w:val="20"/>
                <w:szCs w:val="20"/>
              </w:rPr>
              <w:t xml:space="preserve"> składane na kolejne lata budżetowe.</w:t>
            </w:r>
          </w:p>
        </w:tc>
      </w:tr>
      <w:tr w:rsidR="009D3D41" w:rsidRPr="002450C4" w:rsidTr="007458F9">
        <w:tc>
          <w:tcPr>
            <w:tcW w:w="381" w:type="dxa"/>
          </w:tcPr>
          <w:p w:rsidR="009D3D41" w:rsidRPr="00F43B7D" w:rsidRDefault="009D3D41" w:rsidP="0058262E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4" w:type="dxa"/>
          </w:tcPr>
          <w:p w:rsidR="009D3D41" w:rsidRPr="00F43B7D" w:rsidRDefault="009D3D41" w:rsidP="007E6098">
            <w:pPr>
              <w:rPr>
                <w:rFonts w:ascii="Arial" w:hAnsi="Arial" w:cs="Arial"/>
                <w:sz w:val="20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>Doświadczenia związane z realizacją projektu</w:t>
            </w:r>
          </w:p>
        </w:tc>
        <w:tc>
          <w:tcPr>
            <w:tcW w:w="7654" w:type="dxa"/>
          </w:tcPr>
          <w:p w:rsidR="004D2824" w:rsidRPr="00F43B7D" w:rsidRDefault="004D2824" w:rsidP="00107E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 xml:space="preserve">Na etapie wyboru wykonawców PEF przeprowadzono szczegółowy dialog w celu określenia jak najbardziej dokładnych wymagań funkcjonalnych i technicznych. </w:t>
            </w:r>
            <w:r w:rsidR="00515CED" w:rsidRPr="00F43B7D">
              <w:rPr>
                <w:rFonts w:ascii="Arial" w:hAnsi="Arial" w:cs="Arial"/>
                <w:sz w:val="20"/>
                <w:szCs w:val="20"/>
              </w:rPr>
              <w:t>Wielokrotne spotkania z kilkoma potencjalnymi  wykonawcami wydłużyły postępowanie, lecz pozwoliły na określenie wymagań, które spowodowały, że proces uruchomienia PEF przebiegał bez opóźnień, a gotowe rozwiązanie spełniło oczekiwania użytkowników.</w:t>
            </w:r>
          </w:p>
          <w:p w:rsidR="009D3D41" w:rsidRPr="00F43B7D" w:rsidRDefault="004D2824" w:rsidP="00107E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 xml:space="preserve">W ramach Projektu zbierane były na bieżąco doświadczenia, w tym w trakcie spotkań projektowych (odbywających się minimum raz w tygodniu) zespołów partnerów i wykonawców. Zespół projektowy miał każdorazowo możliwość omówienia zrealizowanych zadań, czy wydarzeń wpływających na realizację Projektu tak, aby zgromadzoną wcześniej wiedzę stosować podczas kolejnych prac. Do prowadzenia ustaleń i wymiany wiedzy wykorzystywano narzędzia do pracy grupowej. </w:t>
            </w:r>
            <w:r w:rsidR="00975EB8" w:rsidRPr="00F43B7D">
              <w:rPr>
                <w:rFonts w:ascii="Arial" w:hAnsi="Arial" w:cs="Arial"/>
                <w:sz w:val="20"/>
                <w:szCs w:val="20"/>
              </w:rPr>
              <w:t>Opracowano unikatowy system pracy na linii Zamawiający-Dostawca – który polegał na głębokim i bieżącym zaangażowaniu Zamawiającego w prace z dostawcami.</w:t>
            </w:r>
          </w:p>
          <w:p w:rsidR="00F43B7D" w:rsidRPr="00F43B7D" w:rsidRDefault="00F43B7D" w:rsidP="00107E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3B7D">
              <w:rPr>
                <w:rFonts w:ascii="Arial" w:hAnsi="Arial" w:cs="Arial"/>
                <w:sz w:val="20"/>
                <w:szCs w:val="20"/>
              </w:rPr>
              <w:t>Przeprowadzone zostały spotkania podsumowujące projekt i przygotowujące do kolejnych przedsięwzięć. Na podstawie doświadczeń np. został przygotowany kolejny wniosek o dofinansowanie ze środków UE na projekt „E-FAKTURY SPECJALIZOWANE – ROZBUDOWA PLATFORMY ELEKTRONICZNEGO FAKTUROWANIA (PEF2)”.</w:t>
            </w:r>
          </w:p>
        </w:tc>
      </w:tr>
    </w:tbl>
    <w:p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30D" w:rsidRDefault="001D630D" w:rsidP="007E34C5">
      <w:pPr>
        <w:spacing w:after="0" w:line="240" w:lineRule="auto"/>
      </w:pPr>
      <w:r>
        <w:separator/>
      </w:r>
    </w:p>
  </w:endnote>
  <w:endnote w:type="continuationSeparator" w:id="0">
    <w:p w:rsidR="001D630D" w:rsidRDefault="001D630D" w:rsidP="007E3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30D" w:rsidRDefault="001D630D" w:rsidP="007E34C5">
      <w:pPr>
        <w:spacing w:after="0" w:line="240" w:lineRule="auto"/>
      </w:pPr>
      <w:r>
        <w:separator/>
      </w:r>
    </w:p>
  </w:footnote>
  <w:footnote w:type="continuationSeparator" w:id="0">
    <w:p w:rsidR="001D630D" w:rsidRDefault="001D630D" w:rsidP="007E34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AE683E"/>
    <w:multiLevelType w:val="hybridMultilevel"/>
    <w:tmpl w:val="20466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861FC"/>
    <w:multiLevelType w:val="hybridMultilevel"/>
    <w:tmpl w:val="F3DE1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9745AB"/>
    <w:multiLevelType w:val="hybridMultilevel"/>
    <w:tmpl w:val="D806FC80"/>
    <w:lvl w:ilvl="0" w:tplc="04150003">
      <w:numFmt w:val="bullet"/>
      <w:lvlText w:val="·"/>
      <w:lvlJc w:val="left"/>
      <w:pPr>
        <w:ind w:left="1490" w:hanging="360"/>
      </w:pPr>
      <w:rPr>
        <w:rFonts w:ascii="Cambria" w:eastAsia="Times New Roman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B362880"/>
    <w:multiLevelType w:val="hybridMultilevel"/>
    <w:tmpl w:val="070C9C4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6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A3D"/>
    <w:rsid w:val="000126C4"/>
    <w:rsid w:val="00021989"/>
    <w:rsid w:val="00032182"/>
    <w:rsid w:val="00037CC7"/>
    <w:rsid w:val="00055897"/>
    <w:rsid w:val="000D3CA9"/>
    <w:rsid w:val="000E0C6F"/>
    <w:rsid w:val="00107E18"/>
    <w:rsid w:val="001455E8"/>
    <w:rsid w:val="001600BB"/>
    <w:rsid w:val="001806EC"/>
    <w:rsid w:val="001B3052"/>
    <w:rsid w:val="001C11FE"/>
    <w:rsid w:val="001C4CA9"/>
    <w:rsid w:val="001C611C"/>
    <w:rsid w:val="001C6D7D"/>
    <w:rsid w:val="001D630D"/>
    <w:rsid w:val="0021582D"/>
    <w:rsid w:val="002450C4"/>
    <w:rsid w:val="00286359"/>
    <w:rsid w:val="00295880"/>
    <w:rsid w:val="002A153C"/>
    <w:rsid w:val="002A728C"/>
    <w:rsid w:val="003B107D"/>
    <w:rsid w:val="003B7BD6"/>
    <w:rsid w:val="003D7919"/>
    <w:rsid w:val="004046DC"/>
    <w:rsid w:val="004B19FE"/>
    <w:rsid w:val="004D135D"/>
    <w:rsid w:val="004D2824"/>
    <w:rsid w:val="00515CED"/>
    <w:rsid w:val="0058262E"/>
    <w:rsid w:val="005A4344"/>
    <w:rsid w:val="005D1C0C"/>
    <w:rsid w:val="005D4188"/>
    <w:rsid w:val="00632AA0"/>
    <w:rsid w:val="00643672"/>
    <w:rsid w:val="00657614"/>
    <w:rsid w:val="00687AFE"/>
    <w:rsid w:val="006A5D3C"/>
    <w:rsid w:val="006B7454"/>
    <w:rsid w:val="00716201"/>
    <w:rsid w:val="007408A3"/>
    <w:rsid w:val="00743031"/>
    <w:rsid w:val="007437D9"/>
    <w:rsid w:val="007458F9"/>
    <w:rsid w:val="007534E3"/>
    <w:rsid w:val="007675D6"/>
    <w:rsid w:val="00773523"/>
    <w:rsid w:val="007A0A3D"/>
    <w:rsid w:val="007C54F9"/>
    <w:rsid w:val="007C622A"/>
    <w:rsid w:val="007E2F1F"/>
    <w:rsid w:val="007E34C5"/>
    <w:rsid w:val="007E6098"/>
    <w:rsid w:val="007F63EF"/>
    <w:rsid w:val="00813FEF"/>
    <w:rsid w:val="00814C23"/>
    <w:rsid w:val="008213A6"/>
    <w:rsid w:val="008632E4"/>
    <w:rsid w:val="008927DE"/>
    <w:rsid w:val="008E0416"/>
    <w:rsid w:val="00905779"/>
    <w:rsid w:val="0092099A"/>
    <w:rsid w:val="00920CE8"/>
    <w:rsid w:val="009413AE"/>
    <w:rsid w:val="00975EB8"/>
    <w:rsid w:val="00982DC4"/>
    <w:rsid w:val="009D3D41"/>
    <w:rsid w:val="009E1398"/>
    <w:rsid w:val="00A10386"/>
    <w:rsid w:val="00A12836"/>
    <w:rsid w:val="00A1534B"/>
    <w:rsid w:val="00A31D45"/>
    <w:rsid w:val="00A41523"/>
    <w:rsid w:val="00A522AB"/>
    <w:rsid w:val="00A530C3"/>
    <w:rsid w:val="00A6601B"/>
    <w:rsid w:val="00A710B2"/>
    <w:rsid w:val="00AA1C73"/>
    <w:rsid w:val="00B33C04"/>
    <w:rsid w:val="00B57299"/>
    <w:rsid w:val="00B86AB2"/>
    <w:rsid w:val="00B93735"/>
    <w:rsid w:val="00BC120E"/>
    <w:rsid w:val="00BD5E5F"/>
    <w:rsid w:val="00C37A3A"/>
    <w:rsid w:val="00C42446"/>
    <w:rsid w:val="00C546B0"/>
    <w:rsid w:val="00C56B53"/>
    <w:rsid w:val="00C67B9B"/>
    <w:rsid w:val="00C948E6"/>
    <w:rsid w:val="00CA79E4"/>
    <w:rsid w:val="00CF4111"/>
    <w:rsid w:val="00D22A05"/>
    <w:rsid w:val="00D2582C"/>
    <w:rsid w:val="00D65F79"/>
    <w:rsid w:val="00DA663A"/>
    <w:rsid w:val="00DB70A5"/>
    <w:rsid w:val="00DD4892"/>
    <w:rsid w:val="00E30008"/>
    <w:rsid w:val="00E52249"/>
    <w:rsid w:val="00E61590"/>
    <w:rsid w:val="00EF094D"/>
    <w:rsid w:val="00F117E4"/>
    <w:rsid w:val="00F32CAA"/>
    <w:rsid w:val="00F43B7D"/>
    <w:rsid w:val="00F600BD"/>
    <w:rsid w:val="00F741B3"/>
    <w:rsid w:val="00F82254"/>
    <w:rsid w:val="00FA2C7F"/>
    <w:rsid w:val="00FD074F"/>
    <w:rsid w:val="00FD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34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34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34C5"/>
    <w:rPr>
      <w:vertAlign w:val="superscript"/>
    </w:rPr>
  </w:style>
  <w:style w:type="paragraph" w:styleId="Tekstpodstawowy2">
    <w:name w:val="Body Text 2"/>
    <w:basedOn w:val="Normalny"/>
    <w:link w:val="Tekstpodstawowy2Znak"/>
    <w:rsid w:val="000126C4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0126C4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Default">
    <w:name w:val="Default"/>
    <w:rsid w:val="00FD7D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34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34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34C5"/>
    <w:rPr>
      <w:vertAlign w:val="superscript"/>
    </w:rPr>
  </w:style>
  <w:style w:type="paragraph" w:styleId="Tekstpodstawowy2">
    <w:name w:val="Body Text 2"/>
    <w:basedOn w:val="Normalny"/>
    <w:link w:val="Tekstpodstawowy2Znak"/>
    <w:rsid w:val="000126C4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0126C4"/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Default">
    <w:name w:val="Default"/>
    <w:rsid w:val="00FD7D9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6</Pages>
  <Words>1533</Words>
  <Characters>9203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10715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Sankiewicz Szymon</dc:creator>
  <cp:lastModifiedBy>Marek Miazkiewicz</cp:lastModifiedBy>
  <cp:revision>6</cp:revision>
  <dcterms:created xsi:type="dcterms:W3CDTF">2020-01-02T08:08:00Z</dcterms:created>
  <dcterms:modified xsi:type="dcterms:W3CDTF">2020-01-02T09:58:00Z</dcterms:modified>
</cp:coreProperties>
</file>